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124 vom 15. Februar 2012</w:t>
      </w:r>
    </w:p>
    <w:p>
      <w:r>
        <w:t>VD Tribunal cantonal, 2012-02-15, FR</w:t>
      </w:r>
    </w:p>
    <w:p>
      <w:r>
        <w:rPr>
          <w:b/>
        </w:rPr>
        <w:t xml:space="preserve">Quelle: </w:t>
      </w:r>
      <w:r>
        <w:t>https://mcp.opencaselaw.ch/entscheid/vd_findinfo_D_cision___2012___124</w:t>
      </w:r>
    </w:p>
    <w:p>
      <w:r>
        <w:t>FR: VD_FINDINFO Décision / 2012 / 124 du 15 février 2012</w:t>
      </w:r>
    </w:p>
    <w:p>
      <w:r>
        <w:t>IT: VD_FINDINFO Décision / 2012 / 124 del 15 febbraio 2012</w:t>
      </w:r>
    </w:p>
    <w:p>
      <w:pPr>
        <w:pStyle w:val="Heading2"/>
      </w:pPr>
      <w:r>
        <w:t>Regeste</w:t>
      </w:r>
    </w:p>
    <w:p>
      <w:r>
        <w:t>DÉTENTION PRÉVENTIVE | 221 al. 1 let. a CPP (CH), 221 al. 1 let. b CPP (CH), 221 CPP (CH)</w:t>
      </w:r>
    </w:p>
    <w:p>
      <w:pPr>
        <w:pStyle w:val="Heading2"/>
      </w:pPr>
      <w:r>
        <w:t>Erwägungen</w:t>
      </w:r>
    </w:p>
    <w:p>
      <w:r>
        <w:rPr>
          <w:b/>
        </w:rPr>
        <w:t>E. 1</w:t>
      </w:r>
    </w:p>
    <w:p>
      <w:r>
        <w:t>.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Les conditions posées à l'art. 221 al.1 CPP sont alternatives et non cumulatives (CREP, 11 janvier 2012/6 c. 2).</w:t>
      </w:r>
    </w:p>
    <w:p>
      <w:r>
        <w:rPr>
          <w:b/>
        </w:rPr>
        <w:t>E. 3</w:t>
      </w:r>
    </w:p>
    <w:p>
      <w:r>
        <w:t>a) En l’espèce, c'est à juste titre que le recourant ne conteste pas l’existence à son égard de charges suffisantes quant aux infractions dont il lui est fait grief. A raison également, il ne soutient plus, dans son recours, que son maintien en détention ne respecterait pas le principe de proportionnalité eu égard à la proportion entre la durée de la détention provisoire déjà subie et la quotité de la peine privative de liberté dont il paraît passible pour les graves infractions dont il est prévenu. Quant à ces deux conditions de la détention provisoire, il suffit de renvoyer à l’arrêt rendu par la Cour de céans le 28 novembre 2011, dont les considérants demeurent à cet égard valides en l'état actuel de la procédure. Cela étant, le prévenu conteste tout risque de fuite et de collusion. b) Selon la jurisprudence, le risque de fuite ne peut pas s'apprécier sur la seule base de la gravité de l'infraction (ATF 125 I 60 c. 3a); il doit s'analyser en fonction d'un ensemble de critères tels que le caractère de l'intéressé, sa moralité, ses ressources, ses liens avec l'Etat qui le poursuit ainsi que ses contacts à l'étranger (ATF 117 Ia 69 c. 4). Dans le cas présent, le risque de fuite est non seulement toujours réalisé, mais des indices supplémentaires viennent le renforcer : le recourant a continué à verser d'importantes sommes d'argent et à se rendre en Thaïlande après le décès de son père. Il y a en outre des éléments de correspondance avec une femme thaïlandaise et des indications selon lesquelles il s'apprêterait à créer une société en Thaïlande. Ces éléments viennent renforcer le fait que le prévenu a des attaches dans ce pays. Ainsi que le relève à juste titre le TMC dans l'ordonnance attaquée, il y a un fort risque que le prévenu soit tenté, malgré ses attaches avec la Suisse, de fuir en Thaïlande pour échapper aux poursuites pénales dont il fait l'objet. A cet égard le seul dépôt de ses documents d'identité auprès du Ministère public ne saurait pallier au risque de fuite du recourant. c)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ATF 128 I 149 c. 2.1; ATF 123 I 31 c. 3c; ATF 117 Ia 257 c. 4b-c). En l'espèce, le recourant plaide que le dépôt de ses documents d'identité auprès du Ministère public l'empêche de se rendre en Thaïlande, et constitue donc une mesure de substitution suffisante. Cet argument est vain. Outre que cette mesure n'est pas suffisante à pallier à un risque de fuite, elle n'éliminerait pas tout risque de collusion, l'intéressé pouvant aisément agir depuis la Suisse à l'aide des moyens actuels de communication. Or, une commission rogatoire doit être mise en œuvre concernant l'usage et la destination des fonds détournés, point qui n'a pas encore pu être clarifié. Si le recourant était libéré, il aurait la possibilité de s'employer à faire disparaître des preuves, voire les fonds eux-mêmes. Pour le surplus et sur la question du risque de collusion, il suffit de renvoyer à l'arrêt rendu par la Cour de céans le 11 janvier 2012, confirmé par le Tribunal fédéral le 7 février 2012, le recourant n'apportant, au vrai, aucun élément nouveau permettant de remettre en cause cette appréciation. Il existe donc toujours un risque concret de collusion qu'aucune mesure de substitution n'est susceptible de prévenir efficacement (art. 237 al. 1 CPP a contrario ). Le seul moyen propre à parer au risque de collusion au stade actuel est le maintien en détention, comme le constate à juste titre l'ordonnance attaquée, qui doit être confirmée. d) Partant, le recours, manifestement mal fondé, doit être rejeté sans autres échanges d’écritures (art. 390 al. 2 CPP). Les frais de la procédure de recours, constitués en l’espèce du seul émolument d'arrêt (art. 422 al. 1 CPP), par 880 fr. (art. 20 al. 1 TFJP [tarif des frais judiciaires pénaux; RSV 312.03.1]), seront mis à la charge du recourant, qui succombe (art. 428 al. 1 CPP). Par ces motifs, la Chambre des recours pénale, statuant à huis clos p r o n o n c e : I. Le recours est rejeté. II. L'ordonnance est confirmée. III. Les frais du présent arrêt, par 880 fr. (huit cent huitante francs), sont mis à la charge de Q.________. IV. Le présent arrêt est déclaré exécutoire. Le président :               La greffière : Du La décision qui précède, dont la rédaction a été approuvée à huis clos, est notifiée, par l'envoi d'une copie complète, à : - Mme Véronique Fontana, avocate (pour Q.________), - Ministère public central, et communiquée à : ‑ Tribunal des mesures de contrainte, ‑ Monsieur le Procureur du Ministère public central, division des affaires spéciales, contrôle et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