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121 vom 16. Januar 2012</w:t>
      </w:r>
    </w:p>
    <w:p>
      <w:r>
        <w:t>VD Tribunal cantonal, 2012-01-16, FR</w:t>
      </w:r>
    </w:p>
    <w:p>
      <w:r>
        <w:rPr>
          <w:b/>
        </w:rPr>
        <w:t xml:space="preserve">Quelle: </w:t>
      </w:r>
      <w:r>
        <w:t>https://mcp.opencaselaw.ch/entscheid/vd_findinfo_D_cision___2012___121</w:t>
      </w:r>
    </w:p>
    <w:p>
      <w:r>
        <w:t>FR: VD_FINDINFO Décision / 2012 / 121 du 16 janvier 2012</w:t>
      </w:r>
    </w:p>
    <w:p>
      <w:r>
        <w:t>IT: VD_FINDINFO Décision / 2012 / 121 del 16 gennaio 2012</w:t>
      </w:r>
    </w:p>
    <w:p>
      <w:pPr>
        <w:pStyle w:val="Heading2"/>
      </w:pPr>
      <w:r>
        <w:t>Regeste</w:t>
      </w:r>
    </w:p>
    <w:p>
      <w:r>
        <w:t>OPPOSITION TARDIVE, NOTIFICATION DE LA DÉCISION, ORDONNANCE DE CONDAMNATION | 354 CPP (CH), 356 CPP (CH), 85 al. 1 CPP (CH), 85 al. 4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(Gwladys Gilliéron/Martin Killias, in: Kuhn/Jeanneret (éd.), Commentaire romand, Code de procédure pénale suisse, Bâle 2011, n. 5 ad art. 356 CPP ; Franz Riklin, in: Niggli/Heer/Wiprächtiger (éd.), Basler Kommentar, Schweizerische Strafprozessordnung, Jugendstrafprozessordnung, Bâle 2011, n. 2 ad art. 356 CPP; CREP, 16 décembre 2011/592).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c) En l’espèce, lors de son audition devant la police le 2 septembre 2011, F.________ a été informée qu’une procédure préliminaire était instruite à son encontre pour possession d'héroïne et elle a signé le formulaire idoine l’informant de ses droits et obligations en qualité de prévenue. Elle devait donc s’attendre à la remise de communications émanant des autorités pénales dans le cadre de la procédure préliminaire instruite contre elle, y compris à la notification d’une ordonnance pénale (art. 352 ss CPP), étant précisé que le Ministère public n’a pas l’obligation d’entendre le prévenu avant de rendre une ordonnance pénale (Gwladys Gilliéron/Martin Killias, in: Kuhn/Jeanneret (éd.), op. cit., nn. 10, 11 et 18 ad art. 352 CPP ; Christian Schwarzenegger, in: Donatsch/Hansjakob/Lieber (éd.), Kommentar zur Schweizerischen Strafprozessordnung, 2010, nn.</w:t>
      </w:r>
    </w:p>
    <w:p>
      <w:r>
        <w:rPr>
          <w:b/>
        </w:rPr>
        <w:t>E. 4</w:t>
      </w:r>
    </w:p>
    <w:p>
      <w:r>
        <w:t>et 5 ad art. 352 CPP ; Frank Riklin, in: Niggli/Heer/Wiprächtiger (éd.), op. cit., n. 1 ad art. 352 CPP). Dans ces conditions, l’ordonnance pénale du 16 novembre 2011, expédiée par lettre signature du même jour, était réputée notifiée le dernier jour du délai de garde de sept jours (art. 85 al. 4 let. a CPP), soit le 24 novembre 2011. C’est ainsi à bon droit que le Tribunal de police a déclaré irrecevable l’opposition formée le 13 décembre 2011 contre l’ordonnance pénale rendue le 16 novembre 2011 et a constaté que cette ordonnance était exécutoire (cf. art. 354 al. 3 CPP). 3. Il résulte de ce qui précède que le recours, manifestement mal fondé, doit être rejeté sans autres échanges d’écritures (art. 390 al. 2 CPP). La requête de la recourante tendant à la désignation d’un défenseur d’office pour la procédure de recours doit être rejetée, les conditions de l’art. 132 CPP n’étant pas remplies en l’espèce, le recours étant de toute manière dénué de chances de succès.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II. L'ordonnance est confirmée. III. La requête de F.________ tendant à la désignation d'un défenseur d'office pour la procédure de recours est rejetée. IV. Les frais de la procédure de recours, par 550 fr. (cinq cent cinquante francs), sont mis à la charge de F.________. V. L'arrêt est exécutoire. Le président :               Le greffier : Du L'arrêt qui précède, dont la rédaction a été approuvée à huis clos, est notifié, par l'envoi d'une copie complète, à : - M. Jean Lob, avocat (pour F.________), - Ministère public central,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