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 vom 28. September 2011</w:t>
      </w:r>
    </w:p>
    <w:p>
      <w:r>
        <w:t>VD Tribunal cantonal, 2011-09-28, FR</w:t>
      </w:r>
    </w:p>
    <w:p>
      <w:r>
        <w:rPr>
          <w:b/>
        </w:rPr>
        <w:t xml:space="preserve">Quelle: </w:t>
      </w:r>
      <w:r>
        <w:t>https://mcp.opencaselaw.ch/entscheid/vd_findinfo_D_cision___2012___11</w:t>
      </w:r>
    </w:p>
    <w:p>
      <w:r>
        <w:t>FR: VD_FINDINFO Décision / 2012 / 11 du 28 septembre 2011</w:t>
      </w:r>
    </w:p>
    <w:p>
      <w:r>
        <w:t>IT: VD_FINDINFO Décision / 2012 / 11 del 28 settembre 2011</w:t>
      </w:r>
    </w:p>
    <w:p>
      <w:pPr>
        <w:pStyle w:val="Heading2"/>
      </w:pPr>
      <w:r>
        <w:t>Regeste</w:t>
      </w:r>
    </w:p>
    <w:p>
      <w:r>
        <w:t>DÉCISION D'IRRECEVABILITÉ, SOUPÇON, ESCROQUERIE, MISE EN DANGER DE LA VIE D'AUTRUI{ART. 129 CP} | 129 CP, 146 CP, 310 CPP (CH)</w:t>
      </w:r>
    </w:p>
    <w:p>
      <w:pPr>
        <w:pStyle w:val="Heading2"/>
      </w:pPr>
      <w:r>
        <w:t>Volltext</w:t>
      </w:r>
    </w:p>
    <w:p>
      <w:r>
        <w:t>Vaud Tribunal cantonal Chambre des recours pénale 25.10.2011 Décision / 2012 / 11</w:t>
      </w:r>
    </w:p>
    <w:p>
      <w:r>
        <w:t>DÉCISION D'IRRECEVABILITÉ, SOUPÇON, ESCROQUERIE, MISE EN DANGER DE LA VIE D'AUTRUI{ART. 129 CP} | 129 CP, 146 CP, 310 CPP (CH)</w:t>
      </w:r>
    </w:p>
    <w:p>
      <w:r>
        <w:t>TRIBUNAL CANTONAL 583 PE11.015654-MMR CHAMBRE DES RECOURS PENALE __________________________________________ Séance du 25 octobre 2011 __________________ Présidence de               M. K R I E G E R, président Juges :              Mme Epard et M. Meylan Greffier :              M. Valentino ***** Art. 310, 393 ss CPP Vu la plainte déposée le 10 septembre 2011 par G.________ contre le Garage de C.________ SA SA, à [...], pour escroquerie et mise en danger de la vie d'autrui, vu l'ordonnance du 28 septembre 2011 par laquelle la Procureure de l'arrondissement de La Côte a refusé d'entrer en matière et laissé les frais à la charge de l'Etat, vu le recours interjeté le 18 octobre 2011 par G.________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le 18 octobre 2011, G.________ a déposé plainte contre le Garage de C.________ SA SA pour escroquerie et mise en danger de la vie d'autrui, qu'à l'appui de sa plainte, elle explique que ledit garage lui aurait vendu un véhicule défectueux et que le vendeur lui aurait dit que la voiture pouvait tracter 3,5 tonnes, alors qu'elle n'est autorisée à en tracter que 2,8, que la Procureure de l'arrondissement de La Côte n'est pas entrée en matière sur la plainte déposée par la recourante, considérant que les faits dénoncés par cette dernière n'étaient constitutifs d'aucune infraction pénale et que le litige qui opposait les parties était de nature purement civile, que G.________ conteste cette ordonnance,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l'escroquerie au sens de l'art. 146 CP suppose en particulier que l'auteur ait usé de tromperie et que celle-ci ait été astucieuse (ATF 128 IV 18 c. 3a; ATF 122 II 422 c. 3a; ATF 122 IV 246 c. 3a et les arrêts cités), que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que l'astuce n'est toutefois pas réalisée si la dupe pouvait se protéger avec un minimum d'attention ou éviter l'erreur avec le minimum de prudence que l'on pouvait attendre d'elle (ATF 128 IV 18 c. 3a précité; ATF 126 IV 165 c. 2a), qu'en d'autres termes, il y a astuce si la dupe n'a pas la possibilité de vérifier ou si des vérifications seraient trop difficiles et que l'auteur exploite cette situation, que tel est le cas en particulier si l'auteur conclut un contrat en ayant d'emblée l'intention de ne pas fournir sa prestation, alors que cette intention n'est pas décelable (ATF 126 IV 165, précité), qu'en l'espèce, les éléments constitutifs d'escroquerie au sens de l'art. 146 CP ne sont pas réalisés, qu'à en croire les pièces produites à l'appui de la plainte et les arguments de la recourante, les agissements du Garage de C.________ SA SA pourraient sembler à première vue malhonnêtes, dès lors que ce dernier a indiqué, lors de la vente de la voiture, – et confirmé ensuite par courrier du 21 juillet 2011 (pièce 4/3) –, que celle-ci pouvait tracter 3,5 tonnes, alors qu'elle n'est autorisée à tracter un poids remorquable que de 2,8 tonnes (pièce 4/5), que toutefois, dans le cas particulier, le fait de donner de fausses informations ne constitue pas une astuce au sens de la disposition précitée, qu'au surplus, G.________ aurait pu consulter la carte grise de la voiture – vérification qu'il est d'usage de faire lors de l'achat d'un véhicule, qui plus est d'occasion –, d'où il ressort clairement que le poids remorquable est de 2,8 tonnes (pièce 4/5), qu'elle n'a cependant pris aucune des précautions que l'on pouvait raisonnablement attendre d'elle, que par conséquent, l'astuce n'est pas réalisée, que s'agissant des défectuosités du véhicule dont se plaint l'intéressée, on constatera que le Garage de C.________ SA SA a offert d'effectuer les éventuelles réparations gratuitement (la voiture bénéficiant d'ailleurs d'une garantie d'une année), ce que la recourante a refusé (pièces 4/1 p. 2 in initio et 4/3), que le vendeur n'a donc pas eu recours à un échafaudage de mensonges propre à tromper G.________ quant à l'état du véhicule, qu'il ne suffit pas, pour tomber sous la qualification d'escroquerie, de vendre une chose affectée de défauts (cf. arrêts déjà cités), que l'infraction d'escroquerie ne peut dès lors être retenue, que l'infraction de mise en danger de la vie d'autrui au sens de l'art. 129 CP est également exclue, que cette infraction implique un danger concret et sérieux (et non pas une lointaine éventualité) qu'une personne soit tuée et que ce risque soit dans un rapport de connexité étroit avec le comportement reproché à l'auteur (Corboz, Les infractions en droit suisse, vol. I, Berne 2010, n. 14 ad art. 129 CP), que tel n'est pas le cas en l'occurrence, puisque la recourante se borne à évoquer l'éventualité d'un accident de la circulation, que les faits reprochés au Garage de C.________ SA SA ne sont par ailleurs constitutifs d'aucune autre infraction pénale, que c'est donc à juste titre que la procureure a rendu une ordonnance de non-entrée en matière, qu'il s'agit bien plutôt d'un litige relevant du droit privé; attendu que le recours, mal fondé, doit être rejeté et l'ordonnance confirmée, que les frais du présent arrêt, par 550 fr. (art. 20 al. 1 TFJP [Tarif des frais judiciaires pénaux du 28 septembre 2010, RSV 312.03.1]), sont mis à la charge de la recourante, qui succombe (art. 428 al. 1 CPP). Par ces motifs, la Chambre des recours pénale, statuant à huis clos, prononce : I. Le recours est rejeté. II. L'ordonnance est confirmée. III. Les frais du présent arrêt, par 550 fr. (cinq cent cinquante francs), sont mis à la charge de G.________. IV. Le présent arrêt est exécutoire. Le président :               Le greffier : Du L'arrêt qui précède, dont la rédaction a été approuvée à huis clos, est notifié, par l'envoi d'une copie complète, à : - Mme G.________,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