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1088 vom 14. Dezember 2012</w:t>
      </w:r>
    </w:p>
    <w:p>
      <w:r>
        <w:t>VD Tribunal cantonal, 2012-12-14, FR</w:t>
      </w:r>
    </w:p>
    <w:p>
      <w:r>
        <w:rPr>
          <w:b/>
        </w:rPr>
        <w:t xml:space="preserve">Quelle: </w:t>
      </w:r>
      <w:r>
        <w:t>https://mcp.opencaselaw.ch/entscheid/vd_findinfo_D_cision___2012___1088</w:t>
      </w:r>
    </w:p>
    <w:p>
      <w:r>
        <w:t>FR: VD_FINDINFO Décision / 2012 / 1088 du 14 décembre 2012</w:t>
      </w:r>
    </w:p>
    <w:p>
      <w:r>
        <w:t>IT: VD_FINDINFO Décision / 2012 / 1088 del 14 dicembre 2012</w:t>
      </w:r>
    </w:p>
    <w:p>
      <w:pPr>
        <w:pStyle w:val="Heading2"/>
      </w:pPr>
      <w:r>
        <w:t>Regeste</w:t>
      </w:r>
    </w:p>
    <w:p>
      <w:r>
        <w:t>DÉCISION D'IRRECEVABILITÉ, FAUX INTELLECTUEL DANS LES TITRES | 251 CP, 310 CPP (CH), 393 al. 1 let. a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Aux termes de l'art. 251 CP (Code pénal suisse du 21 décembre 1937;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aa)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 2a; ATF 125 IV 273 c. 3a). bb)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 2c; TF 6B_589/2009 du14 septembre 2009 c. 2.1.1; TF 6S.37/2007 du 19 avril 2007 c. 8.2.2). Celle-ci doit être dans une position analogue à celle d'un garant (ATF 120 IV 25 c. f).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103 IV 178 c. 2c, JT 1978 IV 143; TF 6B_589/2009 du14 septembre 2009 c. 2.1.1; TF 6S.22/2007 du 4 mai 2007 c. 9.2; TF 6S.491/1999 du 23 septembre 1999 c. 7). cc) Le faux dans les titres est une infraction intentionnelle. Toutefois, le dol éventuel suffit. L'art. 251 CP exige de surcroît un dessein spécial, qui peut se présenter sous deux formes alternatives, soit le dessein de nuire ou le dessein d'obtenir un avantage illicite (Corboz, Les infractions spéciales, ad art. 251 CP n o 171 ss p. 216 ss). b) En l'espèce, le recourant fait valoir que les factures adressées par le Z.________ à la [...] (P. 4/3) et à K.________ (P. 4/4) constituent des faux intellectuels dans la mesure où leur contenu ne correspondrait pas à la réalité. Le recourant offre de prouver que K.________ n'a pas occupé une chambre individuelle – alors qu'elle telle prestation lui a été facturée par le Z.________ – par le biais d'un témoin, Me [...], qui lui aurait rendu visite lors de son hospitalisation. Compte tenu de la jurisprudence du Tribunal fédéral (c. 3bb supra), on ne saurait d'emblée considérer que les factures établies par le Z.________ ne constituent pas des titres au sens de l'art. 251 CP dans la mesure où elles émanent d'un établissement hospitalier qui jouit d'une confiance particulière. D'ailleurs, il apparaît pour le moins surprenant que la Procureure ne se soit pas prononcée sur la jurisprudence précitée, dont l'avocat du plaignant s'était pourtant prévalu. Il appartiendra donc à la Procureure de déterminer dans quelle mesure cette jurisprudence est applicable au cas d'espèce, et si elle estime que tel n'est pas le cas, de justifier les raisons qui la motiveraient à adopter une position différente. Pour le cas où elle devait entrer en matière sur l'infraction de l'art. 251 CP, il lui appartiendra notamment d'auditionner Me [...], ainsi que de requérir des explications de la part du Z.________ quant aux différences constatées sur les deux factures relatives au séjour hospitalier de K.________ (P. 4/3 et 4/4).</w:t>
      </w:r>
    </w:p>
    <w:p>
      <w:r>
        <w:rPr>
          <w:b/>
        </w:rPr>
        <w:t>E. 4</w:t>
      </w:r>
    </w:p>
    <w:p>
      <w:r>
        <w:t>Le recours doit donc être admis et l'ordonnance de non-entrée en matière du 16 octobre 2012 annulée. Le dossier de la cause sera renvoyé au Ministère public pour qu'il procède dans le sens des considérants, puis rende une nouvelle décision. Les frais d'arrêt, par 770 fr. (art. 20 al. 1 TFJP [tarif des frais judiciaires pénaux du 28 septembre 2010; RSV 312.03.1]), seront laissés à la charge de l'Etat (art. 428 al. 4 CPP). Enfin, concernant les dépens réclamés par le recourant, ils suivent le sort de la cause au fond (art. 433 CPP; Mizel/Rétornaz, in: Kuhn/Jeanneret (éd.), op. cit., n. 13 ad art. 433 CPP; CREP 5 juillet 2011/346). Par ces motifs, la Chambre des recours pénale, statuant à huis clos, prononce : I. Le recours est admis. II. L'ordonnance de non-entrée en matière du 16 octobre 2012 est annulée. III. Le dossier de la cause est renvoyé au Ministère public de l'arrondissement de Lausanne pour qu'il procède dans le sens des considérants, puis rende une nouvelle décision. IV. Les frais de la procédure, par 770 fr. (sept cent septante francs), sont laissés à la charge de l'Etat. V. Le présent arrêt est exécutoire. La vice-présidente : Le greffier : Du L'arrêt qui précède, dont la rédaction a été approuvée à huis clos, est notifié, par l'envoi d'une copie complète, à : - M. Lionel Zeiter, avocat (pour T.________), - Ministère public central, et communiqué à : ‑ Mme la Procureure de l'arrondissement de Lausanne, par l’envoi de photocopie.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