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1080 vom 6. November 2012</w:t>
      </w:r>
    </w:p>
    <w:p>
      <w:r>
        <w:t>VD Tribunal cantonal, 2012-11-06, FR</w:t>
      </w:r>
    </w:p>
    <w:p>
      <w:r>
        <w:rPr>
          <w:b/>
        </w:rPr>
        <w:t xml:space="preserve">Quelle: </w:t>
      </w:r>
      <w:r>
        <w:t>https://mcp.opencaselaw.ch/entscheid/vd_findinfo_D_cision___2012___1080</w:t>
      </w:r>
    </w:p>
    <w:p>
      <w:r>
        <w:t>FR: VD_FINDINFO Décision / 2012 / 1080 du 6 novembre 2012</w:t>
      </w:r>
    </w:p>
    <w:p>
      <w:r>
        <w:t>IT: VD_FINDINFO Décision / 2012 / 1080 del 6 novembre 2012</w:t>
      </w:r>
    </w:p>
    <w:p>
      <w:pPr>
        <w:pStyle w:val="Heading2"/>
      </w:pPr>
      <w:r>
        <w:t>Regeste</w:t>
      </w:r>
    </w:p>
    <w:p>
      <w:r>
        <w:t>DÉNONCIATEUR, PLAIGNANT, DÉCISION D'IRRECEVABILITÉ, DISPOSITIONS PÉNALES DE LA LDA, CLASSEMENT DE LA PROCÉDURE | 67 LDA, 104 CPP (CH), 301 CPP (CH),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2</w:t>
      </w:r>
    </w:p>
    <w:p>
      <w:r>
        <w:t>Seules les parties ayant qualité pour recourir contre une ordonnance de classement (art. 322 al. 2 CPP; cf. c. 1 supra), il convient d’examiner en premier lieu si B.________SA a la qualité de partie s’agissant de l’infraction à la LDA qu’elle invoque. a)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(Bendani, in Kuhn/Jeanneret (éd.), Commentaire romand, Code de procédure pénale suisse, Bâle 2011, n. 9 ad art. 105 CPP et les références citées).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Pour déterminer si une personne est lésée par une infraction, il convient ainsi d’interpréter le texte de la disposition pour savoir qui est le titulaire du bien juridique que celle-ci protège (Perrier, op. cit., n. 8 ad art. 115 CPP). b) L'essence du droit d'auteur réside dans le fait que son bénéficiaire a un droit d'exclusivité. C'est à lui de savoir s'il veut interdire l'utilisation de l'œuvre ou s'il veut l'autoriser, et, dans ce cas, à quelles conditions (Troller, Précis du droit suisse des biens immatériels, 2 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 e éd., Berne 2008, n. 3 ad art. 9 LDA). Les art. 9 à 11 LDA consacrent la maîtrise absolue de l'auteur sur celle-ci (Troller, op. cit., p. 241). En vertu de l'art. 6 LDA, le titulaire du droit d'auteur d'une oeuvre est la personne physique qui a créé l'oeuvre. Une personne morale ne peut pas être l'auteur d'une oeuvre protégée par la LDA (Cherpillod, Le droit d'auteur des architectes, in Plädoyer 1994/6, p. 51; ATF 74 II 106, JT 1949 I 162). En revanche, une personne morale qui s'est fait céder les droits par l'auteur peut agir en justice (ATF 100 II 67, JT 1975 I 534; Troller, op. cit., p. 399). c) En l’espèce, la recourante reproche au prévenu d’avoir repris sans son autorisation, en mentionnant comme architecte « P.________SA – M. M.________ », les plans d’une villa qu’elle avait établis pour le compte des époux A.G.________ et B.G.________, et de s’en être ainsi attribué indûment la paternité, en violation de l’art. 9 LDA qui reconnaît à l’auteur le droit exclusif sur son oeuvre et le droit de faire reconnaître sa qualité d’auteur. L’usurpation de la paternité sur une œuvre est réprimée pénalement par l’art. 67 al. 1 let. a LDA, qui dispose que sur plainte du lésé, est puni d’une peine privative de liberté d’un an au plus ou d’une peine pécuniaire quiconque, intentionnellement et sans droit, utilise une oeuvre sous une désignation fausse ou différente de celle décidée par l’auteur (cf. Rehbinder/Viganò, Kommentar, Urheberrechtsgesetz,</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irrecevable. II. Les frais de la procédure de recours, par 550 fr. (cinq cent cinquante francs), sont mis à la charge de B.________SA. III. Le présent arrêt est exécutoire. Le président :               La greffière : Du L'arrêt qui précède, dont la rédaction a été approuvée à huis clos, est notifié, par l'envoi d'une copie complète, à : - M. Henri Baudraz, avocat (pour B.________SA), - M. M.________,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