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1041 vom 16. April 2012</w:t>
      </w:r>
    </w:p>
    <w:p>
      <w:r>
        <w:t>VD Tribunal cantonal, 2012-04-16, FR</w:t>
      </w:r>
    </w:p>
    <w:p>
      <w:r>
        <w:rPr>
          <w:b/>
        </w:rPr>
        <w:t xml:space="preserve">Quelle: </w:t>
      </w:r>
      <w:r>
        <w:t>https://mcp.opencaselaw.ch/entscheid/vd_findinfo_D_cision___2012___1041</w:t>
      </w:r>
    </w:p>
    <w:p>
      <w:r>
        <w:t>FR: VD_FINDINFO Décision / 2012 / 1041 du 16 avril 2012</w:t>
      </w:r>
    </w:p>
    <w:p>
      <w:r>
        <w:t>IT: VD_FINDINFO Décision / 2012 / 1041 del 16 aprile 2012</w:t>
      </w:r>
    </w:p>
    <w:p>
      <w:pPr>
        <w:pStyle w:val="Heading2"/>
      </w:pPr>
      <w:r>
        <w:t>Regeste</w:t>
      </w:r>
    </w:p>
    <w:p>
      <w:r>
        <w:t>MISE EN LIBERTÉ PROVISOIRE, DÉTENTION PRÉVENTIVE, RISQUE DE RÉCIDIVE, PROPORTIONNALITÉ | 221 CPP (CH), 228 CPP (CH), 393 al. 1 let. c CPP (CH)</w:t>
      </w:r>
    </w:p>
    <w:p>
      <w:pPr>
        <w:pStyle w:val="Heading2"/>
      </w:pPr>
      <w:r>
        <w:t>Volltext</w:t>
      </w:r>
    </w:p>
    <w:p>
      <w:r>
        <w:t>Vaud Tribunal cantonal Cour des poursuites et faillites 12.12.2012 Décision / 2012 / 1041</w:t>
      </w:r>
    </w:p>
    <w:p>
      <w:r>
        <w:t>MISE EN LIBERTÉ PROVISOIRE, DÉTENTION PRÉVENTIVE, RISQUE DE RÉCIDIVE, PROPORTIONNALITÉ | 221 CPP (CH), 228 CPP (CH), 393 al. 1 let. c CPP (CH)</w:t>
      </w:r>
    </w:p>
    <w:p>
      <w:r>
        <w:t>TRIBUNAL CANTONAL 757 PE12.006662-GMT/GRV CHAMBRE DES RECOURS PENALE __________________________________________ Séance du 12 décembre 2012 __________________ Présidence de               Mme Epard , vice-présidente Juges :              MM. Meylan et Abrecht Greffière :              Mme de Watteville Subilia ***** Art. 221, 228, 393 al. 1 let. c CPP Vu l' enquête n° PE12.006662-GMT/GRV instruite par le Ministère public de l'arrondissement du Nord vaudois contre T.________ pour brigandage, violation des règles de la circulation routière, conduite sans autorisation et contravention à la loi sur les stupéfiants, d'office et sur diverses plaintes, vu l'ordonnance du 16 avril 2012, par laquelle le Tribunal des mesures de contrainte a ordonné la mise en détention provisoire de T.________, vu les ordonnances du 12 juillet et 11 octobre 2012 prolongeant la détention provisoire du prévenu pour une durée maximale de 3 mois, soit au plus tard jusqu'au 13 janvier 2013, vu la demande de mise en liberté adressée le 14 novembre 2012 par T.________, vu la prise de position du Ministère public du 16 novembre 2012, concluant au rejet de la demande, adressée au Tribunal des mesures de contrainte, vu les déterminations du prévenu du 23 novembre 2012 dans lesquelles il a formellement renoncé à la tenue d'une audience, vu l'ordonnance du 27 novembre 2012, par laquelle le Tribunal des mesures de contrainte a rejeté la demande de libération de la détention provisoire et dit que les frais suivaient le sort de la cause, vu le recours interjeté le 7 décembre 2012 par T.________ contre cette décision, vu les pièces du dossier; attendu que le prévenu peut déposer en tout temps une demande de libération de la détention provisoire au ministère public, qui transmet le dossier au Tribunal des mesures de contrainte s'il n'entend pas donner une suite favorable à la demande (art. 228 CPP [Code de procédure pénale suisse du 5 octobre 2007, RS 312.0]), que la décision du Tribunal des mesures de contrainte refusant la libération de la détention provisoire peut faire l'objet d'un recours (art. 222 et 393 al. 1 let. c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 ce point n'est pas contesté en l'espèce, qu'il convient toutefois de rappeler brièvement que T.________ est mis en cause pour s'être introduit, le 13 avril 2012, avec E.________ dans le pub de la [...] à [...], qu'ils étaient cagoulés, qu'à cette occasion, E.________ tenait une arme ressemblant à une Kalachnikov qui s'est révélée être factice, que de la sorte, les prévenus auraient mis hors d'état de résister l'employée, qu'ils ont ainsi emporté une somme de l'ordre de 8'000 fr. avant de rejoindre un comparse qui les attendait dans une voiture, que le recourant a rapidement avoué les faits, donnant de nombreux détails sur l'évènement en lui-même et sur les déplacements effectués ainsi que sur l'arme utilisée, qu'au vu de l'ensemble des éléments, il y a lieu d'admettre qu'il existe des soupçons suffisants à l'encontre de T.________; attendu que la décision attaquée se fonde sur le risque de récidive (art. 221 al. 1 let. c CPP), que le recourant conteste l'existence d'un tel risque,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conventionnelles et législatives sur la prévention du risque de récidive reposent sur des motifs de sécurité publique et doivent permettre de faire prévaloir l'intérêt à la sécurité publique sur la liberté personnelle du prévenu (ATF 137 IV 13, JT 2011 IV 95; ATF 137 IV 84, JT 2011 IV 325), qu'en l'espèce, T.________ a déjà été condamné le 2 novembre 2006 par le Tribunal des mineurs notamment pour lésions corporelles simples, appropriation illégitime, vol, recel et violation de domicile, puis le 6 juillet 2010 par le Tribunal correctionnel de l'arrondissement de la Broye et du Nord vaudois, à une peine privative de liberté de 12 mois avec sursis durant 3 ans, notamment pour brigandage, qu'en outre, d'après le rapport d'expertise du 7 novembre 2012, le recourant présente un risque de récidive élevé au vu de "l'absence d'étayage socioprofessionnel structurant, [des] addictions de M. T.________ aux substances, [de] son trouble de la personnalité dyssociale provoquant son incapacité d'élaboration et de remise en questions, ainsi que [de] ses difficultés et sa non-volonté de s'inscrire dans un projet psycho-socio-professionnel" (P. 133), que, par ailleurs, le rapport d'expertise retient que le recourant n'a pas tenté de s'inscrire dans un projet de soin pour se défaire de cette addiction, ne ressentant pas le besoin ou la nécessité de cesser ses consommations, qu'interrogé par les experts sur l'urgence qu'il invoque quant à un projet au Levant, il ne répond que par son désir de sortir le plus rapidement possible de prison, que, d'après les experts, cette motivation laisse craindre un manque de désir profond de changement dans la durée par rapport à ses comportements addictifs, que les experts relèvent que le prévenu a déjà bénéficié de la mise en place d'un suivi, mais ne l'a pas investi, voire a fait en sorte de tromper ses thérapeutes, que les experts restent dubitatifs quant à l'impact d'une mesure thérapeutique pour diminuer le risque de récidive d'actes illicites, doutant de l'authenticité de l'envie de traitement et de la réelle perception des enjeux thérapeutiques par le recourant, qu'enfin, ils préconisent, à sa sortie de prison, après l'exécution de sa peine, un contrôle social mettant des limites au prévenu, l'aidant à s'inscrire dans un projet professionnel et contrôlant ses dépenses, plutôt qu'une démarche imposée de soins pour le cadrer, qu'en l'occurrence, il n'y a pas lieu de s'écarter du rapport d'expertise, qu'il existe un risque important de récidive, qu'au vu des conclusions de l'expertise, le risque de récidive ne peut être écarté par les mesures de substitution proposées par le recourant, à savoir un placement à la Fondation du Levant,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T.________ est placé en détention provisoire depuis le 13 avril 2012, qu'au vu de la gravité des charges qui pèsent contre lui, et en particulier d'une récidive de brigandage avec une pleine responsabilité, dont la peine maximale est de dix ans (cf. art. 140 CP), et de ses  antécédents judiciaires, la durée de la détention provisoire du recourant demeure proportionnée à la peine à laquelle il s'expose, qu'au demeurant, les investigations sont en passe d'être terminées; attendu que le recourant invoque une injustice du fait que ses comparses ont été libérés, que le maintien en détention provisoire s'examine au cas par cas, que, comme mentionné ci-dessus, il est notamment tenu compte de l'état psychique du prévenu, de son imprévisibilité ou de son agressivité ainsi que des soupçons de sa culpabilité, que les experts ont apprécié de manière différente la question du risque de récidive pour le cas de E.________, qu'il n'y a dès lors pas lieu de procéder à des comparaisons entre les comparses;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T.________. IV. Dit que les frais du présent 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T.________ se soit améliorée. VI. Déclare le présent arrêt exécutoire. La vice-présidente : La greffière : Du L'arrêt qui précède, dont la rédaction a été approuvée à huis clos, est notifié, par l'envoi d'une copie complète, à : - M. Robert Fox, avocat (pour T.________),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