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1029 vom 6. Dezember 2012</w:t>
      </w:r>
    </w:p>
    <w:p>
      <w:r>
        <w:t>VD Tribunal cantonal, 2012-12-06, FR</w:t>
      </w:r>
    </w:p>
    <w:p>
      <w:r>
        <w:rPr>
          <w:b/>
        </w:rPr>
        <w:t xml:space="preserve">Quelle: </w:t>
      </w:r>
      <w:r>
        <w:t>https://mcp.opencaselaw.ch/entscheid/vd_findinfo_D_cision___2012___1029</w:t>
      </w:r>
    </w:p>
    <w:p>
      <w:r>
        <w:t>FR: VD_FINDINFO Décision / 2012 / 1029 du 6 décembre 2012</w:t>
      </w:r>
    </w:p>
    <w:p>
      <w:r>
        <w:t>IT: VD_FINDINFO Décision / 2012 / 1029 del 6 dicembre 2012</w:t>
      </w:r>
    </w:p>
    <w:p>
      <w:pPr>
        <w:pStyle w:val="Heading2"/>
      </w:pPr>
      <w:r>
        <w:t>Regeste</w:t>
      </w:r>
    </w:p>
    <w:p>
      <w:r>
        <w:t>HOMICIDE PAR NÉGLIGENCE, FAUTE, CLASSEMENT DE LA PROCÉDURE | 117 CP, 319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Interjetés dans le délai légal auprès de l’autorité compétente, respectivement par la prévenue et par la partie civile qui ont toutes deux la qualité pour recourir (cf. art. 386 al. 1 CPP), les deux recours sont recevables.</w:t>
      </w:r>
    </w:p>
    <w:p>
      <w:r>
        <w:rPr>
          <w:b/>
        </w:rPr>
        <w:t>E. 2</w:t>
      </w:r>
    </w:p>
    <w:p>
      <w:r>
        <w:t>Selon l'art. 319 al. 1 let. b CPP, le ministère public ordonne le classement de tout ou partie de la procédure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CP).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 2.1; ATF 133 IV 158 c. 5.1; ATF 122 IV 17 c. 2b). S'agissant en particulier d'un accident de la route, il convient de se référer aux règles de la circulation routière pour déterminer plus précisément quels étaient les devoirs imposés par la prudence (ATF 122 IV 133 c. 2a). En l'espèce, il ressort des différentes expertises – et de l'aveu même de l'intéressée – que X.________ circulait à une vitesse supérieure à la vitesse maximale autorisée sur ce tronçon. Ce faisant, elle n'a pas respecté la règle de prudence imposée par les art. 32 al. 2 LCR (Loi sur la circulation routière du 19 décembre 1958; RS741.01) et 4a al. 1 OCR (Ordonnance sur les règles de la circulation routière du 13 novembre 1962; RS 741.11). Rien ne l'empêchait de s'y conformer. Son manquement lui est donc imputable à faute. c) Il convient encore d'examiner si cette négligence est en relation de causalité adéquate avec la mort de la victime. Selon la jurisprudence constante du Tribunal fédéral,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(ATF 135 IV 56 c. 2.1; ATF 134 IV 255 c. 4.4.2 et les arrêts cités). La faute propre de la victime ne peut exclure la réalisation de l'état de fait punissable qu'autant que son imprudence relègue à l'arrière-plan le comportement de l'auteur (TF 6B_185/2010 du 21 octobre 2010 c. 2.1; ATF 135 IV 56 c. 2.1). Au regard de ces exigences jurisprudentielles, on ne peut exclure a priori que les deux comportements concomitants ont concouru à la réalisation du dommage que dans de très rares cas. Il faut en général déterminer de manière précise les deux comportements. Pour écarter la causalité adéquate en raison de la rupture de ce lien, il ne suffit pas de mettre en évidence le caractère inhabituel ou même fautif du comportement de la victime (TF 6B_185/2010 déjà cité, c. 2.2). En l'espèce, le Ministère public a retenu que la réalisation de l'infraction d'homicide par négligence pouvait être exclue au motif que, selon l'avis unanime des experts, X.________ aurait dû circuler à une vitesse bien inférieure à celle autorisée pour pouvoir éviter la collision. Dans son raisonnement, la Procureure omet toutefois que le résultat dommageable de l'infraction réprimée par l'art. 117 CP est bien la mort de la victime et non la collision qui l'a éventuellement entraînée. Aussi, ne suffit-il pas de déterminer si la prévenue aurait pu ou non éviter la collision avec le véhicule de la victime pour interrompre le lien de causalité entre l'accident et le décès, mais faut-il encore démontrer que la faute de la prévenue – à savoir sa vitesse excessive – n'est pas la cause la plus probable du décès de la victime et que celui-ci n'aurait pas pu être évité, même si la prévenue avait circulé à la vitesse maximale autorisée. Au regard ce qui précède, la problématique centrale de cette affaire, à savoir l'évaluation de l'incidence de l'excès de vitesse de la prévenue sur le décès de la victime, est une question juridique délicate qui n'a pas été  traitée dans l'ordonnance de classement et qui ne peut manifestement pas être tranchée sans procéder à une appréciation juridique approfondie, voire à l'audition des experts. Dans ces conditions, et s'agissant de faits graves, l'application du principe "in dubio pro duriore" impose une mise en accusation. De toute manière, s'agissant de questions juridiques compliquées, le Tribunal fédéral retient qu'il appartient à l'autorité de jugement d'examiner et de trancher ces questions et non à l'autorité d'instruction (ATF 137 IV 219; ATF 138 IV 86).</w:t>
      </w:r>
    </w:p>
    <w:p>
      <w:r>
        <w:rPr>
          <w:b/>
        </w:rPr>
        <w:t>E. 4</w:t>
      </w:r>
    </w:p>
    <w:p>
      <w:r>
        <w:t>Le recours de Y.________ doit donc être admis et l'ordonnance de classement du 11 octobre 2012 annulée. Le dossier de la cause sera renvoyé au Ministère public de l’arrondissement de Lausanne pour qu'il procède dans le sens des considérants. Au vu de ce qui précède, le recours interjeté par X.________ devient sans objet. Les frais d'arrêt, par 1'100 fr. (art. 20 al. 1 TFJP [tarif des frais judiciaires pénaux du 28 septembre 2010; RSV 312.03.1]) seront mis à la charge de X.________ qui a conclu au rejet du recours de la partie civile et qui succombe (art. 428 al. 1 CPP). S'agissant des dépens réclamés par les recourantes, ils suivent le sort de la cause au fond (cf. art. 433 CPP; Mizel/Rétornaz, in Kuhn/Jeanneret (éd.), Commentaire romand, Code de procédure pénale suisse, 2011, n. 13 ad art. 433 CPP). Par ces motifs, la Chambre des recours pénale, statuant à huis clos, prononce : I. Le recours de Y.________ est admis. II. Le recours de X.________ est sans objet. III. L'ordonnance du 11 octobre 2012 est annulée. IV. Le dossier de la cause est renvoyé au Ministère public de l’arrondissement Lausanne pour qu'il procède dans le sens des considérants. V. Les frais d'arrêt, par 1'100 fr. (mille cent francs) sont mis à la charge de X.________. VI. L'arrêt est exécutoire. Le président :               La greffière : Du L'arrêt qui précède, dont la rédaction a été approuvée à huis clos, est notifié, par l'envoi d'une copie complète, à : - Mme Lorraine Ruf, avocate (pour Y.________), - M. Tony Donnet-Monay, avocat (pour X.________), - Ministère public central, et communiqué à : ‑ Mme la Procureure ad hoc pour l'arrondissement de La Côte, - Service des automobiles et de la navigation,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