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Décision / 2011 / 802 vom 25. August 2011</w:t>
      </w:r>
    </w:p>
    <w:p>
      <w:r>
        <w:t>VD Tribunal cantonal, 2011-08-25, FR</w:t>
      </w:r>
    </w:p>
    <w:p>
      <w:r>
        <w:rPr>
          <w:b/>
        </w:rPr>
        <w:t xml:space="preserve">Quelle: </w:t>
      </w:r>
      <w:r>
        <w:t>https://mcp.opencaselaw.ch/entscheid/vd_findinfo_D_cision___2011___802</w:t>
      </w:r>
    </w:p>
    <w:p>
      <w:r>
        <w:t>FR: VD_FINDINFO Décision / 2011 / 802 du 25 août 2011</w:t>
      </w:r>
    </w:p>
    <w:p>
      <w:r>
        <w:t>IT: VD_FINDINFO Décision / 2011 / 802 del 25 agosto 2011</w:t>
      </w:r>
    </w:p>
    <w:p>
      <w:pPr>
        <w:pStyle w:val="Heading2"/>
      </w:pPr>
      <w:r>
        <w:t>Regeste</w:t>
      </w:r>
    </w:p>
    <w:p>
      <w:r>
        <w:t>DILIGENCE, VIOLATION DU DROIT, RENONCIATION{SENS GÉNÉRAL}, MESURE DISCIPLINAIRE | 12 let. a LLCA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let. a LLCA. II. Renonce à prononcer une sanction disciplinaire à son encontre. III. Dit que les frais d'enquête et d'arrêt, par 468 fr. (quatre cent soixante-huit francs), sont mis à la charge d'R.________. Le président :               La greffière : Du La décision qui précède, lue et approuvée à huis clos, est notifiée à : - Me R.________. Toute décision de la Chambre des avocats peut faire l'objet d'un recours au Tribunal cantonal dans les trente jours dès sa communication ou sa notification. Le recours est exercé conformément à la loi sur la procédure administrative (art. 60 al. 1 et 15 LPAv).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