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800 vom 27. Oktober 2011</w:t>
      </w:r>
    </w:p>
    <w:p>
      <w:r>
        <w:t>VD Tribunal cantonal, 2011-10-27, FR</w:t>
      </w:r>
    </w:p>
    <w:p>
      <w:r>
        <w:rPr>
          <w:b/>
        </w:rPr>
        <w:t xml:space="preserve">Quelle: </w:t>
      </w:r>
      <w:r>
        <w:t>https://mcp.opencaselaw.ch/entscheid/vd_findinfo_D_cision___2011___800</w:t>
      </w:r>
    </w:p>
    <w:p>
      <w:r>
        <w:t>FR: VD_FINDINFO Décision / 2011 / 800 du 27 octobre 2011</w:t>
      </w:r>
    </w:p>
    <w:p>
      <w:r>
        <w:t>IT: VD_FINDINFO Décision / 2011 / 800 del 27 ottobre 2011</w:t>
      </w:r>
    </w:p>
    <w:p>
      <w:pPr>
        <w:pStyle w:val="Heading2"/>
      </w:pPr>
      <w:r>
        <w:t>Regeste</w:t>
      </w:r>
    </w:p>
    <w:p>
      <w:r>
        <w:t>JONCTION DE CAUSES | 29 CPP (CH), 30 CPP (CH), 393 al. 1 let. a CPP (CH)</w:t>
      </w:r>
    </w:p>
    <w:p>
      <w:pPr>
        <w:pStyle w:val="Heading2"/>
      </w:pPr>
      <w:r>
        <w:t>Volltext</w:t>
      </w:r>
    </w:p>
    <w:p>
      <w:r>
        <w:t>Vaud Tribunal cantonal Cour d'appel pénale 12.12.2011 Décision / 2011 / 800</w:t>
      </w:r>
    </w:p>
    <w:p>
      <w:r>
        <w:t>JONCTION DE CAUSES | 29 CPP (CH), 30 CPP (CH), 393 al. 1 let. a CPP (CH)</w:t>
      </w:r>
    </w:p>
    <w:p>
      <w:r>
        <w:t>TRIBUNAL CANTONAL 610 PE11.005280-BDR CHAMBRE DES RECOURS PENALE __________________________________________ Séance du 12 décembre 2011 __________________ Présidence de               M. Krieger , président Juges :              MM. Abrecht et Sauterel Greffière :              Mme Mirus ***** Art. 29 al. 1, 30, 393 al. 1 let. a CPP Vu l' enquête n° PE11.005280-BDR instruite d'office par le Ministère public de l'arrondissement de Lausanne contre F.________ pour conduite sans permis de circulation, vu l' enquête n° PE11.011137-BDR instruite par le Ministère public de l'arrondissement de Lausanne contre le prénommé pour détournement de valeurs patrimoniales mises sous main de justice, d'office et sur dénonciation de l'Office des poursuites du district de Lausanne, vu l'ordonnance du 27 octobre 2011, par laquelle le procureur a ordonné la jonction de l'enquête PE.11.011137-BDR à l'enquête PE11.005280-BDR et dit que les frais suivaient le sort de la cause, vu le recours interjeté le 4 novembre 2011 par F.________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dans la cause n° PE11.005280-BDR, F.________ est soupçonné d'avoir conduit sans permis de circulation, que dans la cause PE11.011137-BDR, il est soupçonné d'avoir détourné des valeurs patrimoniales mises sous main de justice, que le procureur, considérant que les deux causes étaient connexes, a ordonné leur jonction, que F.________ conteste cette décision;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e éd., Zurich 2006, n. 438, p. 277), qu'en l'espèce, F.________ soutient ne pas être l'auteur des faits qui lui sont reprochés dans les deux enquêtes jointes, que dans la mesure où le recourant plaide le fond, ses arguments ne sont pas pertinents s'agissant de la jonction, qu'en effet, il résulte des principes mentionnés ci-dessus que les deux enquêtes sont connexes, puisqu'elles concernent le même prévenu, qu'il se justifiait donc de joindre les deux enquêtes susmentionnées; attendu, en définitive, que le recours, mal fondé, doit être rejeté et l'ordonnance confirmée, que les frais de la procédure de recours, par 330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330 fr. (trois cent trente francs), sont mis à la charge de F.________. IV. Déclare le présent arrêt exécutoire. Le président :               La greffière : Du L'arrêt qui précède, dont la rédaction a été approuvée à huis clos, est notifié, par l'envoi d'une copie complète, à : - M. F.________,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