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721 vom 20. Juli 2011</w:t>
      </w:r>
    </w:p>
    <w:p>
      <w:r>
        <w:t>VD Tribunal cantonal, 2011-07-20, FR</w:t>
      </w:r>
    </w:p>
    <w:p>
      <w:r>
        <w:rPr>
          <w:b/>
        </w:rPr>
        <w:t xml:space="preserve">Quelle: </w:t>
      </w:r>
      <w:r>
        <w:t>https://mcp.opencaselaw.ch/entscheid/vd_findinfo_D_cision___2011___721</w:t>
      </w:r>
    </w:p>
    <w:p>
      <w:r>
        <w:t>FR: VD_FINDINFO Décision / 2011 / 721 du 20 juillet 2011</w:t>
      </w:r>
    </w:p>
    <w:p>
      <w:r>
        <w:t>IT: VD_FINDINFO Décision / 2011 / 721 del 20 luglio 2011</w:t>
      </w:r>
    </w:p>
    <w:p>
      <w:pPr>
        <w:pStyle w:val="Heading2"/>
      </w:pPr>
      <w:r>
        <w:t>Regeste</w:t>
      </w:r>
    </w:p>
    <w:p>
      <w:r>
        <w:t>ESCROQUERIE, ESCROQUERIE EN MATIÈRE DE PRESTATIONS, ASTUCE | 146 al. 1 CP, 146 CP</w:t>
      </w:r>
    </w:p>
    <w:p>
      <w:pPr>
        <w:pStyle w:val="Heading2"/>
      </w:pPr>
      <w:r>
        <w:t>Erwägungen</w:t>
      </w:r>
    </w:p>
    <w:p>
      <w:r>
        <w:rPr>
          <w:b/>
        </w:rPr>
        <w:t>E. 2</w:t>
      </w:r>
    </w:p>
    <w:p>
      <w:r>
        <w:t>Dans la mesure où il conteste la qualification retenue sous l'angle de l'art. 146 CP, l'appelant excipe d'une fausse application du droit matériel par le tribunal de police. Ce moyen relève de l'art. 398 al. 3 let. a CPP.</w:t>
      </w:r>
    </w:p>
    <w:p>
      <w:r>
        <w:rPr>
          <w:b/>
        </w:rPr>
        <w:t>E. 3</w:t>
      </w:r>
    </w:p>
    <w:p>
      <w:r>
        <w:t>Aux termes de l'art. 146 al. 1 CP, se rend coupable d'escroquerie celui qui, dans le dessein de se procurer ou de procurer à un tiers un enrichissement illégitime, a astucieusement induit en erreur une personne par des affirmations fallacieuses ou par la dissimulation de faits vrais, ou l'a astucieusement confortée dans son erreur et a de la sorte déterminé la victime à des actes préjudiciables à ses intérêts pécuniaires ou à ceux d'un tiers. L'escroquerie consiste à tromper la dupe. Pour qu'il y ait escroquerie, une simple tromperie ne suffit cependant pas; il faut qu'elle soit astucieuse. Il y a tromperie astucieuse, au sens de l'art. 146 CP, lorsque l'auteur recourt à un édifice de mensonges, à des manoeuvres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133 IV 256 c. 4.4.3 p. 264; 128 IV 18 c. 3a p. 20).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135 IV 76 c. 5.2 p. 81). Ces principes sont également applicables en matière d'aide sociale (cf. notamment ATF 127 IV 163, résumé in : Favre, Pellet et Stoudmann, Code pénal annoté, 3 ème éd., Lausanne 2007, n. 1.16 ad art. 146 CP; TF 6B_22/2011 du 23 mai 2011 c. 2.1). L'autorité agit de manière légère lorsqu'elle n'examine pas les pièces produites ou néglige de demander à celui qui requiert des prestations les documents nécessaires afin d'établir ses revenus et sa fortune, comme par exemple sa déclaration fiscale, une décision de taxation ou des extraits de ses comptes bancaires. En revanche, compte tenu du nombre de demandes d'aide sociale, une négligence ne peut être reprochée à l'autorité lorsque les pièces ne contiennent pas d'indice quant à des revenus ou à des éléments de fortune non déclarés ou qu'il est prévisible qu'elles n'en contiennent pas (arrêts 6B_576/2010 du 25 janvier 2011 c. 4.1.2; 6B_689/2010 et 6B_690/2010 du 25 octobre 2010 c. 4.3.4; cf. également arrêts 6B_409/2007 du 9 octobre 2007 c. 2.2 et 6B_558/2009 du 26 octobre 2009 c. 1.2). L'arrêt du 23 mai 2011 précité précise (c. 2.2) que l'engagement pris par l'allocataire de prestations d'assistance de fournir tous les renseignements utiles concernant sa situation personnelle et financière ainsi que toute modification de celle-ci n'est pas simplement moral, mais concrétise une obligation légale, s'agissant en l'espèce du droit social genevois. La question est alors de déterminer l'étendue du devoir d'information imposé au bénéficiaire par le droit cantonal (cf. Favre, Pellet et Stoudmann, op. cit., n. 1.18 ad art. 146 CP). Dans le dernier arrêt cité, le Tribunal fédéral a confirmé que l'autorité n'avait pas de motif de douter de la véracité des indications qui lui étaient fournies par le requérant. En l'absence d'indice lui permettant de suspecter une modification du droit du recourant à bénéficier des prestations servies, elle n'avait dès lors pas à procéder à des vérifications particulières. Il ne peut ainsi nullement en être déduit que l'autorité d'assistance aurait fait preuve de négligence du seul fait qu'elle n'a pas procédé, compte tenu des éléments en sa possession, à une enquête auprès du recourant ou d'autres autorités. Qui plus est, l'appelant ne pouvait ignorer l'impossibilité pour l'autorité de procéder à des vérifications pour chaque demande qui lui est soumise, et il n'est ainsi pas déterminant qu'il n'ait pas recouru à un édifice de mensonges. Ainsi, le Tribunal fédéral a considéré que, l'autorité n'ayant pas fait preuve de légèreté, c'était sans violer le droit fédéral que l'autorité cantonale avait admis l'existence d'une astuce.</w:t>
      </w:r>
    </w:p>
    <w:p>
      <w:r>
        <w:rPr>
          <w:b/>
        </w:rPr>
        <w:t>E. 4</w:t>
      </w:r>
    </w:p>
    <w:p>
      <w:r>
        <w:t>En l'espèce, la question déterminante pour la qualification des faits incriminés est celle de savoir si l'intimé a fait preuve d'astuce au sens de l'art. 146 CP en dissimulant à l'autorité administrative d'assistance les revenus issus de son activité lucrative auprès d'[...], par 81'050 fr. 85, et les indemnités de chômage perçues par 9'384 francs. Le prévenu ne conteste pas avoir bénéficié indûment de ces montants, mais soutient que l'escroquerie n'est pas réalisée faute d'astuce.</w:t>
      </w:r>
    </w:p>
    <w:p>
      <w:r>
        <w:rPr>
          <w:b/>
        </w:rPr>
        <w:t>E. 4.1</w:t>
      </w:r>
    </w:p>
    <w:p>
      <w:r>
        <w:t>Tel est toutefois bien le cas au vu de la jurisprudence ci-dessus, s'agissant en tout cas des revenus tirés du travail. En effet, l'intimé n'a jamais annoncé cette activité. En celant les revenus qui découlaient de cette activité lucrative, il a commis un mensonge par omission. Or, les divers formulaires d'allocation des prestations qu'il avait successivement remplis mentionnaient expressément l'obligation de renseigner incombant au requérant, ce conformément à la législation applicable (art. 48 de la loi du 25 mai 1977 sur la prévoyance et l'aide sociales, en vigueur jusqu'au 31 décembre 2005; art. 38 de la loi sur l'action sociale vaudoise [LASV, 850.051], en vigueur depuis le 1 er janvier 2006; art. 14 du règlement d'application de la loi du 25 septembre 1996 sur l'emploi et l'aide aux chômeurs, en vigueur jusqu'au 31 décembre 2005). En outre, les salaires étaient versés de la main à la main, de sorte que la production des relevés bancaires de l'intéressé n'était pas de nature à permettre de découvrir ces revenus non déclarés. Certes, les gains en espèces avaient été déclarés à la caisse de compensation AVS à laquelle était affilié l'employeur, si bien que les revenus en question ont été inscrits au crédit des comptes individuels de cotisations de l'assuré. Néanmoins, on ne peut, en l'absence d'indices concrets de fraude, exiger des services sociaux qu'ils demandent à intervalles réguliers des extraits des comptes individuels de cotisations de chacun de leurs milliers de requérants ou même d'allocataires, ce lors de toute nouvelle demande ou à chaque changement supposé de la situation patrimoniale de l'intéressé. Un tel procédé serait en effet contraire aux impératifs d'une bonne gestion administrative, ce que le prévenu ne pouvait ignorer. Or, en l'espèce, il n'y avait précisément aucun motif connu de l'autorité d'assistance qui aurait dû l'inciter à des mesures d'instruction complémentaires, surtout d'une telle ampleur. En effet, à défaut de tout élément matériel particulier, rien ne permettait concrètement de soupçonner l'intimé de fraude. Il s'ensuit que l'on ne saurait soutenir que, par son attitude, la dupe aurait consenti à son préjudice patrimonial. Il y a donc eu tromperie astucieuse. Les éléments constitutifs de l'escroquerie sont ainsi réalisés et l'intimé s'est rendu coupable de cette infraction. La libération du prévenu du chef d'accusation d'escroquerie procède dès lors d'une fausse application du droit fédéral par le premier juge au sens de l’art. 398 al. 3 let. a CPP.</w:t>
      </w:r>
    </w:p>
    <w:p>
      <w:r>
        <w:rPr>
          <w:b/>
        </w:rPr>
        <w:t>E. 4.2</w:t>
      </w:r>
    </w:p>
    <w:p>
      <w:r>
        <w:t>En ce qui concerne en revanche les indemnités de chômage perçues à tort à concurrence de 9'384 fr., la cour de voit pas que l'autorité administrative ait pu ignorer leur versement, s'agissant en définitive également d'une prestation sociale. En tout cas, l'instruction n'a pas établi à cet égard que le comportement du prévenu puisse être qualifié d'escroquerie. Ce montant ne sera donc pas retenu à titre de préjudice pénal.</w:t>
      </w:r>
    </w:p>
    <w:p>
      <w:r>
        <w:rPr>
          <w:b/>
        </w:rPr>
        <w:t>E. 5</w:t>
      </w:r>
    </w:p>
    <w:p>
      <w:r>
        <w:t>Cela étant, il y a lieu de statuer sur la peine.</w:t>
      </w:r>
    </w:p>
    <w:p>
      <w:r>
        <w:rPr>
          <w:b/>
        </w:rPr>
        <w:t>E. 5.1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Ces critères correspondent à ceux développés par la jurisprudence relative à l'art. 63 aCP, à laquelle on peut se référer (ATF 134 IV 17 c. 2.1 p. 19).</w:t>
      </w:r>
    </w:p>
    <w:p>
      <w:r>
        <w:rPr>
          <w:b/>
        </w:rPr>
        <w:t>E. 5.2</w:t>
      </w:r>
    </w:p>
    <w:p>
      <w:r>
        <w:t>Un premier élément déterminant pour apprécier la culpabilité de l'intimé est le montant indûment perçu, soit la différence entre les prestations d'assistance, d'une part, et les revenus issus de l'activité lucrative, d'autre part. Comme déjà relevé, le produit de l'escroquerie doit être fixé à 81'050 fr. 85. La somme indûment perçue est significative. De surcroît, et il s'agit d'un second élément à charge, l'intimé a agi de manière récurrente durant une longue période. A décharge, le prévenu a non seulement admis sa dette en restitution de prestations indues, mais a encore présenté des regrets. Les montants qu'il a remboursés à ce jour, à hauteur de 1'890 fr., l'ont été par compensation avec des prestations en cours, conformément à la décision administrative de restitution du 22 octobre 2007. Il paraît avoir pris conscience de la gravité de ses agissements, même s'il n'a pas effectué d'autres paiements en remboursement. Au vu de ces éléments, la peine requise de 360 jours-amende ne tient pas suffisamment compte des regrets et de la relative bonne socialisation de l'intimé, ainsi que du remboursement en cours. Une peine pécuniaire de 300 jours-amende est adéquate. Cette peine est entièrement complémentaire à celle prononcée le 25 octobre 2007 par le Juge d’instruction du Nord vaudois (art. 49 al. 2 CP). Pour ce qui est de la situation personnelle et économique de l'auteur, déterminante pour le montant du jour-amende selon l'art. 34 al. 2 CP, le prévenu est toujours à l'aide sociale et sa situation est obérée. Au vu de ces circonstances, le montant du jour-amende doit être fixé au minimum de 10 fr. prévu par la jurisprudence pour les personnes les plus démunies (ATF 135 IV 180 c. 1.4.2).</w:t>
      </w:r>
    </w:p>
    <w:p>
      <w:r>
        <w:rPr>
          <w:b/>
        </w:rPr>
        <w:t>E. 5.3</w:t>
      </w:r>
    </w:p>
    <w:p>
      <w:r>
        <w:t>Enfin, le prévenu remplit les conditions tant objectives que subjectives du sursis. Vu la durée significative durant laquelle il a agi et l'importance des montants indûment perçus, le délai d'épreuve sera fixé à trois ans (art. 44 al. 1 CP).</w:t>
      </w:r>
    </w:p>
    <w:p>
      <w:r>
        <w:rPr>
          <w:b/>
        </w:rPr>
        <w:t>E. 6</w:t>
      </w:r>
    </w:p>
    <w:p>
      <w:r>
        <w:t>En application de l'art. 426 al. 1 CPP, les frais de justice de première instance, y compris l’indemnité due au défenseur d’office du prévenu, par 2'821 fr. 90, doivent être mis à la charge du prévenu, qui est condamné.</w:t>
      </w:r>
    </w:p>
    <w:p>
      <w:r>
        <w:rPr>
          <w:b/>
        </w:rPr>
        <w:t>E. 7</w:t>
      </w:r>
    </w:p>
    <w:p>
      <w:r>
        <w:t>L'appel doit donc être admis et le jugement attaqué modifié dans la mesure décrite ci-dessus.</w:t>
      </w:r>
    </w:p>
    <w:p>
      <w:r>
        <w:rPr>
          <w:b/>
        </w:rPr>
        <w:t>E. 8</w:t>
      </w:r>
    </w:p>
    <w:p>
      <w:r>
        <w:t>L'intimé a conclu au rejet de l'appel. Il succombe entièrement sur ses conclusions. Partant, les frais de la procédure d'appel doivent être mis à sa charge (art. 428 al. 1, 1 ère phrase, CPP). Ces frais comprennent l'indemnité de son défenseur d’office pour la procédure d’appel, laquelle doit être arrêtée à 1'479 fr. 60, TVA comprise, au vu de l'ampleur des opérations effectuées. L'intimé ne sera tenu de rembourser à l’Etat le montant de l’indemnité en faveur de son conseil d’office prévue ci-dessus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