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707 vom 12. Oktober 2011</w:t>
      </w:r>
    </w:p>
    <w:p>
      <w:r>
        <w:t>VD Tribunal cantonal, 2011-10-12, FR</w:t>
      </w:r>
    </w:p>
    <w:p>
      <w:r>
        <w:rPr>
          <w:b/>
        </w:rPr>
        <w:t xml:space="preserve">Quelle: </w:t>
      </w:r>
      <w:r>
        <w:t>https://mcp.opencaselaw.ch/entscheid/vd_findinfo_D_cision___2011___707</w:t>
      </w:r>
    </w:p>
    <w:p>
      <w:r>
        <w:t>FR: VD_FINDINFO Décision / 2011 / 707 du 12 octobre 2011</w:t>
      </w:r>
    </w:p>
    <w:p>
      <w:r>
        <w:t>IT: VD_FINDINFO Décision / 2011 / 707 del 12 ottobre 2011</w:t>
      </w:r>
    </w:p>
    <w:p>
      <w:pPr>
        <w:pStyle w:val="Heading2"/>
      </w:pPr>
      <w:r>
        <w:t>Regeste</w:t>
      </w:r>
    </w:p>
    <w:p>
      <w:r>
        <w:t>DÉFENSE D'OFFICE | 132 CPP (CH), 393 al. 1 let. a CPP (CH)</w:t>
      </w:r>
    </w:p>
    <w:p>
      <w:pPr>
        <w:pStyle w:val="Heading2"/>
      </w:pPr>
      <w:r>
        <w:t>Volltext</w:t>
      </w:r>
    </w:p>
    <w:p>
      <w:r>
        <w:t>Vaud Tribunal cantonal Cour des assurances sociales 16.11.2011 Décision / 2011 / 707</w:t>
      </w:r>
    </w:p>
    <w:p>
      <w:r>
        <w:t>DÉFENSE D'OFFICE | 132 CPP (CH), 393 al. 1 let. a CPP (CH)</w:t>
      </w:r>
    </w:p>
    <w:p>
      <w:r>
        <w:t>TRIBUNAL CANTONAL 515 PE11.006188-JON CHAMBRE DES RECOURS PENALE __________________________________________ Séance du 16 novembre 2011 __________________ Présidence de               M. Krieger , président Juges :              Mme Epard et M. Meylan Greffière :              Mme de Watteville ***** Art. 132, 393 al. 1 let. a CPP Vu l' enquête n° PE11.006188-JON instruite par le Ministère public de l'arrondissement de Lausanne contre U.________ pour diffamation, injure, utilisation abusive d'une installation de télécommunication, soustraction de données personnelles et menaces, sur plainte de D.________ , vu la décision du 12 octobre 2011 par laquelle le Ministère public a refusé la requête de désignation d'un défenseur d'office présentée par U.________, vu le recours interjeté le 24 octobre 2011 par U.________ contre cette décision, vu les déterminations du procureur se référant à sa décision et concluant au rejet du recours, vu les pièces du dossier; attendu que, par courrier du 2 septembre 2011, U.________ a demandé à être mis au bénéfice de l'assistance judiciaire et a requis la désignation d'un défenseur d'office en la personne de Raphaël Tatti (P. 13), qu'à l'appui de sa demande, il a fait valoir que son indigence et la sauvegarde de ses intérêts justifiaient qu'il soit mis au bénéfice de l'assistance judiciaire et assisté d'un défenseur d'office, que par décision du 12 octobre 2011, le procureur a refusé la désignation d'un défenseur considérant en substance que l'affaire était de peu de gravité, l'assistance d'un défenseur d'office n'apparaissant ainsi pas justifiée pour sauvegarder les intérêts de U.________;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p. 557), que cette disposition codifie la jurisprudence rendue par le Tribunal fédéral avant l'entrée en vigueur du Code de procédure pénale suisse en matière de défense d'office (Harari/Aliberti, op. cit., 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s'agissant du montant de base, la jurisprudence a insisté à de réitérées reprises sur le fait qu'on ne peut pas se fonder de manière schématique sur le minimum vital du droit des poursuites mais qu'il faut prendre en compte les circonstances individuelles (TF 5P.366/2006 du 26 avril 2007, c. 5.1; ATF 124 I 1 c. 2, JT 1999 I 60; CREP 27 mai 2011/263), que, même lorsque le revenu est légèrement supérieur au montant qui est absolument nécessaire pour l'entretien courant, on peut considérer qu'il y a indigence, que le Tribunal fédéral n'a pas jugé contraire à la Constitution fédérale une pratique cantonale qui majore de 25% le montant de base pour le calcul du minimum vital (ATF 124 I 1 c. 2, JT 1999 I 60; ATF 127 I 202 c. 3e; CREP, 27 mai 2011/263), qu'en l'espèce, il ressort du dossier que U.________ est marié à [...], que le revenu net du couple, constitué du salaire mensuel net de U.________ par 4'426 fr. 65 et du revenu net de sa femme par 1'860 fr., s'élève à 6'286 fr. 65 (P. 15, p. 2; P. 18/2), que le revenu qui doit être pris en compte pour le calcul du minimum vital élargi de U.________ est donc de 3'143 fr. 30 (6'286 fr. 65 / 2), que ses charges sont les suivantes: - Montant de base: 1'062 fr. 50 ([1'700 + 25%] / 2) - Loyer: 755 fr. (1'510 / 2; cf. P. 18/3), - Assurance maladie: 384 fr. 15 (P. 18/4), - Impôts courants: 667 fr. (estimation: 8'000 /12) que le solde est de 274 fr. 65 après déduction des charges, qu'en outre, U.________ fait l'objet d'une saisie de salaire pour un montant de 500 fr. par mois, en raison des nombreuses poursuites à son encontre s'élevant à 274'857 fr. 79 et des actes de défaut de biens pour 46'299 fr. 70 (P. 18/5), qu'au vu de ce qui précède, U.________ n'a aucun disponible à la fin de chaque mois, qu'en conséquence, son indigence est avérée; attendu qu'une défense d'office est ordonnée si l'assistance d’un défenseur est justifiée pour sauvegarder les intérêts du requérant, que cette condition s'interprète à l'aune des critères mentionnés à l'art. 132 al. 2 et 3 CPP (Harari/Aliberti, op. cit., nn. 60 ss ad art. 132 CPP, p. 558), qu'aux termes de l’art. 132 al. 2 CPP, une défense d’office aux fins de protéger les intérêts du prévenu indigent se justifie notamment lorsque l’affaire n’est pas de peu de gravité et – condition cumulative (Harari/Aliberti, op. cit., n. 61 ad art. 132 CPP, p. 558;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p. 869;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p. 559; TF 6B_304/2007 du 15 août 2008 c. 5.2; ATF 128 I 225 c. 2.5.2; CREP, 3 août 2011/291), qu'en l'espèce, D.________ a déposé plainte les 7 avril et 13 juin 2011 contre U.________ (PV aud. 1; P. 4), qu'à l'appui de ses plaintes, elle fait valoir que U.________ l'aurait traitée de "salope" et de "pute", qu'il se serait connecté à plusieurs reprises sur le compte Facebook de la plaignante, afin de mettre des photos d'elle nue et d'envoyer des messages aux amis de cette dernière, qu'entre le 6 et le 10 juin 2011, il l'aurait appelée cinq à huit fois par jour, qu'il l'aurait menacée en disant notamment qu'il la tuerait au moyen d'un "9 mm" et qu'il s'en prendrait à sa famille, que le 11 juin 2011, il aurait appelé la grand-mère de la plaignante et lui aurait déclaré que cette dernière était une "pute" et une "droguée", qu'au vu de ces éléments et des antécédents du recourant, celui-ci s'expose à une peine privative de liberté supérieure à quatre mois ou à une peine pécuniaire de plus de 120 jours-amende ou à un travail d'intérêt général de plus de 480 heures (cf. art. 132 al. 3 CPP), qu'on ne saurait dès lors qualifier l'affaire de peu grave, que le recourant doit donc être mis au bénéfice d'un défenseur d'office au sens de l’art. 132 al. 1 let. b CPP, que l’ordonnance entreprise est dès lors réformée en ce sens que la requête d’octroi de désignation d'un défenseur d'office à U.________ en la personne de Me Raphaël Tatti, d’ores et déjà consulté, est admise; attendu, en définitive, que le recours est admis et l’ordonnance réformée dans le sens des considérants qui précèdent, que les frais du présent arrêt, par 660 fr. (art. 20 al. 1 TFJP [Tarif des frais judiciaires pénaux du 28 septembre 2010, RSV 312.03.1]), sont laissés à la charge de l’Etat (art. 428 al. 4 CPP), que s'agissant des dépens réclamés par le recourant, il lui appartiendra le cas échéant de demander une indemnité à l'autorité pénale qui aura procédé à l'abandon de la poursuite pénale (art. 429 al. 1 let. a et al. 2 CPP; Mizel/Rétornaz, in Kuhn/Jeanneret (éd.), op. cit., n. 51 ad art. 429 CPP, pp. 1878 s.), que, pour le surplus, le recourant n'a pas demandé à être désigné comme conseil d'office pour la présente procédure de recours. Par ces motifs, la Chambre des recours pénale, statuant à huis clos : I. Admet le recours. II. Réforme l’ordonnance en ce sens que la requête d’octroi de désignation d'un défenseur d'office à U.________ en la personne de Me Raphaël Tatti est admise. III. Dit que les frais du présent arrêt, par 660 fr. (six cent soixante francs), sont laissés à la charge de l'Etat. IV. Déclare le présent arrêt exécutoire. Le président :               La greffière : Du L'arrêt qui précède, dont la rédaction a été approuvée à huis clos, est notifié, par l'envoi d'une copie complète, à : - M. Raphaël Tatti, avocat (pour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