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 vom 28. Dezember 2010</w:t>
      </w:r>
    </w:p>
    <w:p>
      <w:r>
        <w:t>VD Tribunal cantonal, 2010-12-28, FR</w:t>
      </w:r>
    </w:p>
    <w:p>
      <w:r>
        <w:rPr>
          <w:b/>
        </w:rPr>
        <w:t xml:space="preserve">Quelle: </w:t>
      </w:r>
      <w:r>
        <w:t>https://mcp.opencaselaw.ch/entscheid/vd_findinfo_D_cision___2011___7</w:t>
      </w:r>
    </w:p>
    <w:p>
      <w:r>
        <w:t>FR: VD_FINDINFO Décision / 2011 / 7 du 28 décembre 2010</w:t>
      </w:r>
    </w:p>
    <w:p>
      <w:r>
        <w:t>IT: VD_FINDINFO Décision / 2011 / 7 del 28 dicembre 2010</w:t>
      </w:r>
    </w:p>
    <w:p>
      <w:pPr>
        <w:pStyle w:val="Heading2"/>
      </w:pPr>
      <w:r>
        <w:t>Regeste</w:t>
      </w:r>
    </w:p>
    <w:p>
      <w:r>
        <w:t>DÉPENS | 61 let. g LPGA, 55 LPA-VD</w:t>
      </w:r>
    </w:p>
    <w:p>
      <w:pPr>
        <w:pStyle w:val="Heading2"/>
      </w:pPr>
      <w:r>
        <w:t>Erwägungen</w:t>
      </w:r>
    </w:p>
    <w:p>
      <w:r>
        <w:rPr>
          <w:b/>
        </w:rPr>
        <w:t>E. 1</w:t>
      </w:r>
    </w:p>
    <w:p>
      <w:r>
        <w:t>Le recours est admis en ce sens que le jugement du 18 mars 2010 de la Cour des assurances sociales du Tribunal cantonal vaudois ainsi que la décision sur opposition du 20 mars 2009 de la caisse cantonale vaudoise de chômage sont annulés.</w:t>
      </w:r>
    </w:p>
    <w:p>
      <w:r>
        <w:rPr>
          <w:b/>
        </w:rPr>
        <w:t>E. 2</w:t>
      </w:r>
    </w:p>
    <w:p>
      <w:r>
        <w:t>La cause est renvoyée à l'intimée pour nouvelle décision au sens des considérants.</w:t>
      </w:r>
    </w:p>
    <w:p>
      <w:r>
        <w:rPr>
          <w:b/>
        </w:rPr>
        <w:t>E. 3</w:t>
      </w:r>
    </w:p>
    <w:p>
      <w:r>
        <w:t>[…]</w:t>
      </w:r>
    </w:p>
    <w:p>
      <w:r>
        <w:rPr>
          <w:b/>
        </w:rPr>
        <w:t>E. 4</w:t>
      </w:r>
    </w:p>
    <w:p>
      <w:r>
        <w:t>[…]</w:t>
      </w:r>
    </w:p>
    <w:p>
      <w:r>
        <w:rPr>
          <w:b/>
        </w:rPr>
        <w:t>E. 5</w:t>
      </w:r>
    </w:p>
    <w:p>
      <w:r>
        <w:t>Le Tribunal cantonal vaudois statuera sur les dépens de la procédure cantonale au regard de l'issue du procès de dernière instance.</w:t>
      </w:r>
    </w:p>
    <w:p>
      <w:r>
        <w:rPr>
          <w:b/>
        </w:rPr>
        <w:t>E. 6</w:t>
      </w:r>
    </w:p>
    <w:p>
      <w:r>
        <w:t>[…] " que le Tribunal fédéral a renvoyé la cause à la caisse pour qu'elle statue sur le droit à l'indemnité du recourant pour les mois d'août 2007 à avril 2008, abstraction faite du délai de péremption prévu à l'art. 20 al. 3 LACI, vu les pièces du dossier ; attendu qu'en vertu de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qu'en l'espèce, le recourant, qui concluait à l'annulation de la décision sur opposition, obtient gain de cause, qu'il est représenté par une avocate, soit un mandataire dûment autorisé et a droit à des dépens selon l'art. 55 LPA-VD (loi cantonale du 28 octobre 2008 sur la procédure administrative, RSV 173.36), que selon l'art. 7 du tarif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 ; les frais d'avocats ou de représentant comprennent une participation aux honoraires et les débours indispensables (al. 2) ; les honoraires sont fixés d'après l'importance et la complexité du litige, sans égard à la valeur litigieuse et sont en règle générale compris entre 500 et 5'000 fr. (al. 3) ; ils sont fixés en chiffres ronds, incluant la taxe sur la valeur ajoutée (al. 4), qu'au vu de ce qui précède et compte tenu de l'ampleur de la procédure, il convient de fixer équitablement à 2'000 fr. le montant des dépens à allouer pour l'instance cantonale ; attendu que la valeur litigieuse, limitée aux dépens, n'excède pas 30'000 fr., que la présente cause ressortit donc à la compétence du juge unique (art. 94 al. 1 let. a LPA-VD). Par ces motifs, le juge unique prononce : La Caisse cantonale de chômage versera à M.________ la somme de 2'000 fr. (deux mille francs) à titre de dépens pour l'instance cantonale. La juge unique :               La greffière : Du La décision qui précède est notifiée à : ‑ Me Anne-Sylvie Dupont, avocate à Lausanne (pour M.________) ‑ Caisse cantonale de chômage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