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692 vom 30. September 2011</w:t>
      </w:r>
    </w:p>
    <w:p>
      <w:r>
        <w:t>VD Tribunal cantonal, 2011-09-30, FR</w:t>
      </w:r>
    </w:p>
    <w:p>
      <w:r>
        <w:rPr>
          <w:b/>
        </w:rPr>
        <w:t xml:space="preserve">Quelle: </w:t>
      </w:r>
      <w:r>
        <w:t>https://mcp.opencaselaw.ch/entscheid/vd_findinfo_D_cision___2011___692</w:t>
      </w:r>
    </w:p>
    <w:p>
      <w:r>
        <w:t>FR: VD_FINDINFO Décision / 2011 / 692 du 30 septembre 2011</w:t>
      </w:r>
    </w:p>
    <w:p>
      <w:r>
        <w:t>IT: VD_FINDINFO Décision / 2011 / 692 del 30 settembre 2011</w:t>
      </w:r>
    </w:p>
    <w:p>
      <w:pPr>
        <w:pStyle w:val="Heading2"/>
      </w:pPr>
      <w:r>
        <w:t>Regeste</w:t>
      </w:r>
    </w:p>
    <w:p>
      <w:r>
        <w:t>HONNEUR, INFRACTIONS CONTRE L'HONNEUR, CLASSEMENT DE LA PROCÉDURE | 310 CPP (CH), 393 al. 1 let. a CPP (CH), 393 CPP (CH)</w:t>
      </w:r>
    </w:p>
    <w:p>
      <w:pPr>
        <w:pStyle w:val="Heading2"/>
      </w:pPr>
      <w:r>
        <w:t>Erwägungen</w:t>
      </w:r>
    </w:p>
    <w:p>
      <w:r>
        <w:rPr>
          <w:b/>
        </w:rPr>
        <w:t>E. 4</w:t>
      </w:r>
    </w:p>
    <w:p>
      <w:r>
        <w:t>novembre 2010, une requête de mesures protectrices de l'union conjugale auprès du Tribunal d'arrondissement de l'Est vaudois, demandant à ce qu'il soit fait interdiction à son mari de l'importuner, qu'après avoir entendu les parties à son audience du 18 janvier 2011, le Président du Tribunal d'arrondissement de l'Est vaudois, D.________, a rendu une décision dont les motifs indiquaient notamment ceci: " considérant que les déclarations écrites de la requérante concernent essentiellement les relations houleuses qu'elle entretient avec son mari, que cette situation de fait avait déjà été exposée lors de l'instruction effectuée à l'occasion des précédentes mesures protectrices de l'union conjugale, dont le prononcé a été rendu le 12 juillet 2010, que la conclusion prise par A.M.________ à l'occasion de l'audience du 18 janvier 2011 est identique à la conclusion IV qu'elle avait prise lors de l'audience de mesures protectrices de l'union conjugale du 18 mai 2010, soit qu'interdiction soit faite à son époux B.M.________ de l'importuner de quelque façon que ce soit ou d'endommager ses cultures, que le Président de céans a d'ores et déjà statué sur cette conclusion dans le prononcé du 12 juillet 2010, (…), qu'au cours de l'audience du 18 janvier 2011, A.M.________ a parfois tenu des propos incohérents (…)", que par acte envoyé le 23 août 2011, A.M.________ a déposé plainte contre le Procureur J.________ et contre le Président D.________, notamment pour mensonges, diffamation et atteinte à sa personnalité, qu'elle soutient que l'ordonnance du 24 décembre 2010 du Procureur J.________ contient des propos attentatoires à son honneur, étant donné qu'elle n'a jamais eu de problèmes psychiatriques et n'a jamais été hospitalisée à plusieurs reprises à la Clinique de Cery, contrairement à ce qu'indique ladite ordonnance, que s'agissant de la décision du Président D.________, elle fait valoir que les passages retranscrits ci-dessus comportent des erreurs et sont attentatoires à son honneur, que le Procureur général a refusé d'entrer en matière sur la plainte de A.M.________, considérant en substance qu'aucune infraction pénale ne pouvait être reprochée aux deux magistrats précités, que A.M.________ conteste cette décision, concluant implicitement à son annulation;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également celui qui aura propagé de telles accusations ou de tels soupçons, alors qu'il en connaissait l'inanité, que ces deux dispositions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qu'échappent ainsi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 ces deux infractions sont intentionnelles (Corboz, op. cit., pp. 591 et 613) que la calomnie ne se distingue de la diffamation que par la présence d'un élément subjectif supplémentaire, soit que l'auteur sait que le fait qu'il allègue est faux, le dol éventuel n'étant pas suffisant (Corboz, op. cit., p. 611; Favre / Pellet / Stoudmann, Code pénal annoté, Lausanne 2007, n. 1.1 ad art. 174 CP), qu'en l'espèce, s'agissant de la mention litigieuse figurant dans l'ordonnance de refus de suivre établie par le Procureur J.________, la Police cantonale a donné acte à A.M.________ du dysfonctionnement qui avait entaché son activité, en ce sens qu'au moment de renseigner le Procureur, elle avait fait une erreur sur la personne (P. 4/3), que c'est sur la base de ces informations erronées, qui concernaient quelqu'un d'autre, que le Procureur J.________ a indiqué dans son ordonnance du 24 décembre 2010 que la plaignante rencontrait des problèmes psychiatriques et qu'elle avait été plusieurs fois hospitalisée à la Clinique de Cery, que partant, J.________ se trouvait lui-même dans l'erreur et n'avait donc aucune intention d'attenter à l'honneur de A.M.________ en mentionnant ces faits erronés, que, comme déjà dit, les infractions de diffamation et de calomnie sont des infractions intentionnelles, que cette condition subjective faisant défaut dans le cas d'espèce, ces infractions ne peuvent donc pas être réalisées, que concernant les considérants de la décision du Président D.________ retranscrits ci-dessus, ils ne sont pas attentatoires à l'honneur de la plaignante, qu'en effet, exprimer dans la motivation d'une décision judiciaire que les propos tenus par une partie sont parfois incohérents n'est pas un jugement de valeur faisant apparaître la personne visée comme méprisable au sens de la doctrine et de la jurisprudence précitée, qu'il en va de même des autres passages litigieux retranscrits dans le prononcé présidentiel, que les conditions objectives des infractions de diffamation et de calomnie faisant défaut, elles ne sauraient être retenues à l'encontre du Président D.________, qu'enfin, la recourante émet, dans son recours, plusieurs demandes en lien avec le dénommé F.________ et son mari, qu'elle revient également sur une accusation de vol qui l'a visée il y a trois ans, que ces éléments sont sans rapport avec la présente enquête, même si la plaignante fait un lien entre les deux choses, qu'au demeurant, le fait que M. F.________ et son mari aient bénéficié d'une ordonnance de refus de suivre n'a apparemment pas été contesté par la recourante au moyen d'un recours au Tribunal d'accusation, qu'au vu de ce qui précède, c'est à juste titre que le Procureur général a rendu une ordonnance de non-entrée en matière; attendu que le recours, mal fondé, doit être rejeté et l'ordonnance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660 fr. (six cent soixante francs), sont mis à la charge de A.M.________. IV. Déclare le présent arrêt exécutoire. Le président :               La greffière : Du L'arrêt qui précède, dont la rédaction a été approuvée à huis clos, est notifié, par l'envoi d'une copie complète, à : - Mme A.M.________, - Ministère public central. et communiqué à : ‑ M. le Procureur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