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678 vom 18. April 2011</w:t>
      </w:r>
    </w:p>
    <w:p>
      <w:r>
        <w:t>VD Tribunal cantonal, 2011-04-18, FR</w:t>
      </w:r>
    </w:p>
    <w:p>
      <w:r>
        <w:rPr>
          <w:b/>
        </w:rPr>
        <w:t xml:space="preserve">Quelle: </w:t>
      </w:r>
      <w:r>
        <w:t>https://mcp.opencaselaw.ch/entscheid/vd_findinfo_D_cision___2011___678</w:t>
      </w:r>
    </w:p>
    <w:p>
      <w:r>
        <w:t>FR: VD_FINDINFO Décision / 2011 / 678 du 18 avril 2011</w:t>
      </w:r>
    </w:p>
    <w:p>
      <w:r>
        <w:t>IT: VD_FINDINFO Décision / 2011 / 678 del 18 aprile 2011</w:t>
      </w:r>
    </w:p>
    <w:p>
      <w:pPr>
        <w:pStyle w:val="Heading2"/>
      </w:pPr>
      <w:r>
        <w:t>Regeste</w:t>
      </w:r>
    </w:p>
    <w:p>
      <w:r>
        <w:t>ESCROQUERIE, ESCROQUERIE EN MATIÈRE DE PRESTATIONS, FAUX INTELLECTUEL DANS LES TITRES, FAUX MATÉRIEL DANS LES TITRES, FIXATION DE LA PEINE, PEINE PÉCUNIAIRE | 146 al. 1 CP, 146 CP, 34 al. 2 CP, 47 CP</w:t>
      </w:r>
    </w:p>
    <w:p>
      <w:pPr>
        <w:pStyle w:val="Heading2"/>
      </w:pPr>
      <w:r>
        <w:t>Erwägungen</w:t>
      </w:r>
    </w:p>
    <w:p>
      <w:r>
        <w:rPr>
          <w:b/>
        </w:rPr>
        <w:t>E. 1</w:t>
      </w:r>
    </w:p>
    <w:p>
      <w:r>
        <w:t>Interjetés dans les formes et délais légaux contre le jugement d’un tribunal de première instance ayant clos la procédure (art. 398 al. 1 CPP), l'appel est recevable.</w:t>
      </w:r>
    </w:p>
    <w:p>
      <w:r>
        <w:rPr>
          <w:b/>
        </w:rPr>
        <w:t>E. 2</w:t>
      </w:r>
    </w:p>
    <w:p>
      <w:r>
        <w:t>Aux termes de l’art. 398 al. 2 CPP, la juridiction d’appel jouit d’un plein pouvoir d’examen sur tous les points attaqués du jugement (al. 2). Selon l’art. 398 al. 3 CPP, l’appel peut être formé pour violation du droit, y compris l’excès et l’abus du pouvoir d’appréciation, le déni de justice et le retard injustifié (let. a), pour constatation incomplète ou erronée des faits (let. b) et pour inopportunité (let. c). 3.1 Le Ministère public fait valoir que la peine prononcée est trop clémente au vu des circonstances de la cause. Ce moyen relève de l'art. 398 al. 3 let. a CPP. Ni les faits déterminants, ni la qualification des infractions ne sont contestés. Si la question litigieuse est celle de la quotité de la peine; sa nature n'est pas davantage contestée, pas plus que ne l'est le sursis.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qui conserve donc toute sa valeur (ATF 134 IV 17 c.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 citées).</w:t>
      </w:r>
    </w:p>
    <w:p>
      <w:r>
        <w:rPr>
          <w:b/>
        </w:rPr>
        <w:t>E. 4</w:t>
      </w:r>
    </w:p>
    <w:p>
      <w:r>
        <w:t>En l'espèce, l'intimée a, de concert avec son ami, capté des prestations sociales indues à hauteur de 48'304 fr. 65 au total, ce dans le dessein de s'enrichir. Elle a agi de juin 2002 à décembre 2005, puis du 1 er mai 2006 au 30 septembre 2007, soit quasiment sans discontinuer durant quelque cinq ans. Elle n'a, à ce jour, pas remboursé le moindre centime alors même qu'elle est en mesure de travailler. Elle a dissimulé des faits déterminants en les passant sous silence. Plus encore, elle a menti en affirmant, à la faveur de quittances de paiement falsifiées, qu'elle-même et son partenaire payaient leur loyer de leur poche. Les infractions d’escroquerie et de faux dans les titres sont dès lors en concours, notamment pour le troisième complexe de faits incriminés. En outre, sa tentative de se justifier en prétendant qu'elle travaillait gratuitement pour l'agence de voyage de son père alors même que son salaire figurait dans la comptabilité de l'entreprise témoigne de sa désinvolture. De même, son attitude devant les premiers juges et lors de l'audience d'appel dénote de ce qu'elle peine à prendre conscience de la portée des faits qui lui sont reprochés. Il s'agit de lourds éléments à charge dont aucun n'a, certes, été ignoré par le tribunal correctionnel. Néanmoins, les premiers juges ne leur ont pas accordé un poids suffisant, non seulement considérés isolément, mais, surtout, rapprochés les uns des autres. Face à de tels éléments d'appréciation, la prévenue ne peut, comme l'ont relevé les premiers juges, faire valoir de circonstance atténuante. En particulier, rien n'indique que, comme l'ont mentionné les premiers juges sous forme interrogative sans trancher la question, que l'intimée vive sous la coupe de son ami, c'est-à-dire ait agi sous son ascendant. Dans ces conditions, une peine de 90 jours-amende est excessivement clémente, ce jusqu'à constituer un abus de leur pouvoir d’appréciation par les premiers juges. Cela étant, la peine de 180 jours-amende requise ne tient pas suffisamment compte de la relative ancienneté des faits. C'est bien plutôt une peine de 150 jours-amende qu'il convient de prononcer.</w:t>
      </w:r>
    </w:p>
    <w:p>
      <w:r>
        <w:rPr>
          <w:b/>
        </w:rPr>
        <w:t>E. 5</w:t>
      </w:r>
    </w:p>
    <w:p>
      <w:r>
        <w:t>Nonobstant l'absence d'appel joint, l'aggravation de la peine implique que l'on examine d'office la question de la quotité du jour-amende.</w:t>
      </w:r>
    </w:p>
    <w:p>
      <w:r>
        <w:rPr>
          <w:b/>
        </w:rPr>
        <w:t>E. 5.1</w:t>
      </w:r>
    </w:p>
    <w:p>
      <w:r>
        <w:t>A teneur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5.2</w:t>
      </w:r>
    </w:p>
    <w:p>
      <w:r>
        <w:t>Pour déterminer le revenu, le juge doit prendre en considération l'ensemble des revenus en tout genre (revenus de l'activité lucrative, de rentes ou de pensions, de placements de capitaux, de la fortune immobilière, prestations en nature, etc.). Il doit ensuite tenir compte des obligations d'assistance – en particulier familiales – du condamné (Maire, Les peines pécuniaires, in : Kuhn, Moreillon, Viredaz et 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références citées, BJP 2007 n°190 et CCASS, 18 juin 2007, n°150). Dans un arrêt de principe du 18 juin 2009 (6B_769/2008, publié aux ATF 135 IV 180), le Tribunal fédéral a considéré qu'on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 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Kieser, ATSG-Kommentar, 2 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 6.5.2 p. 72, doit être précisé en ce sens (ATF 135 IV 180, précité, c. 1.4.2).</w:t>
      </w:r>
    </w:p>
    <w:p>
      <w:r>
        <w:rPr>
          <w:b/>
        </w:rPr>
        <w:t>E. 5.3</w:t>
      </w:r>
    </w:p>
    <w:p>
      <w:r>
        <w:t>Dans le cas particulier, l'intimée ne travaille pas, ses recherches d'emploi s'étant à ce jour avérées vaines. Elle n'a pas achevé de formation professionnelle. Elle est toujours au bénéfice de l'aide sociale dans sa commune et vit également des prestations d'assistance perçues par son compagnon après que celui-ci a épuisé son droit aux allocations de chômage. En outre, elle a des dettes, ainsi que la charge partagée de deux enfants mineurs. Son tuteur lui verse 1'400 fr. par mois pour vivre, avec son ami et ses enfants, le loyer et l'assurance-maladie étant payés par ailleurs. Dans ces conditions, proche du minimum vital, elle fait partie des auteurs les plus démunis au sens de la jurisprudence résumée ci-dessus (cf. c. 5.2). Partant, c'est le montant minimal de 10 fr. qui doit être pris en compte dans son cas.</w:t>
      </w:r>
    </w:p>
    <w:p>
      <w:r>
        <w:rPr>
          <w:b/>
        </w:rPr>
        <w:t>E. 6</w:t>
      </w:r>
    </w:p>
    <w:p>
      <w:r>
        <w:t>L'appel doit donc être admis dans la mesure décrite ci-dessus.</w:t>
      </w:r>
    </w:p>
    <w:p>
      <w:r>
        <w:rPr>
          <w:b/>
        </w:rPr>
        <w:t>E. 7</w:t>
      </w:r>
    </w:p>
    <w:p>
      <w:r>
        <w:t>Nonobstant l'issue de la cause, et contrairement aux conclusions de l'appel, il n'y a pas lieu de laisser les frais d'arrêt selon l'art. 424 CPP à la charge de l’intimée, dès lors qu'elle n'a pas conclu au rejet de l'appel, mais s'en est remise à justice. Outre l'émolument, ces frais comprennent l’indemnité d’office allouée à son conseil (cf. les art. 135 al. 2 et 422 al. 2 let. a CPP; art. 2 al. 2 ch. 1 TFJP). L’intervention du conseil s’est limitée pour l'essentiel à de menus procédés écrits et à la plaidoirie, en une débattue. Vu l'ampleur et la complexité de la cause, l'indemnité allouée au conseil d'office de l'intimée doit être fixée à 1072 fr., TVA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