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651 vom 7. April 2011</w:t>
      </w:r>
    </w:p>
    <w:p>
      <w:r>
        <w:t>VD Tribunal cantonal, 2011-04-07, FR</w:t>
      </w:r>
    </w:p>
    <w:p>
      <w:r>
        <w:rPr>
          <w:b/>
        </w:rPr>
        <w:t xml:space="preserve">Quelle: </w:t>
      </w:r>
      <w:r>
        <w:t>https://mcp.opencaselaw.ch/entscheid/vd_findinfo_D_cision___2011___651</w:t>
      </w:r>
    </w:p>
    <w:p>
      <w:r>
        <w:t>FR: VD_FINDINFO Décision / 2011 / 651 du 7 avril 2011</w:t>
      </w:r>
    </w:p>
    <w:p>
      <w:r>
        <w:t>IT: VD_FINDINFO Décision / 2011 / 651 del 7 aprile 2011</w:t>
      </w:r>
    </w:p>
    <w:p>
      <w:pPr>
        <w:pStyle w:val="Heading2"/>
      </w:pPr>
      <w:r>
        <w:t>Regeste</w:t>
      </w:r>
    </w:p>
    <w:p>
      <w:r>
        <w:t>TRADUCTION, FIXATION DE LA PEINE, RÉVOCATION DU SURSIS, SURSIS À L'EXÉCUTION DE LA PEINE, DÉPENS, PARTIE CIVILE | 42 al. 1 CP, 42 al. 4 CP, 46 al. 1 CP, 46 al. 2 CP, 47 CP, 126 CPP (CH), 433 al. 2 CPP (CH)</w:t>
      </w:r>
    </w:p>
    <w:p>
      <w:pPr>
        <w:pStyle w:val="Heading2"/>
      </w:pPr>
      <w:r>
        <w:t>Erwägungen</w:t>
      </w:r>
    </w:p>
    <w:p>
      <w:r>
        <w:rPr>
          <w:b/>
        </w:rPr>
        <w:t>E. 1</w:t>
      </w:r>
    </w:p>
    <w:p>
      <w:r>
        <w:t>L’appel doit être annoncé dans les dix jours qui suivent la communication du jugement, soit la remise ou la notification du dispositif écrit (art. 399 al. 1 CPP). La déclaration d’appel doit, quant à elle, être déposée dans les vingt jours à compter de la notification du jugement motivé (art. 399 al. 3 CPP). Interjetés dans les formes et délais légaux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Appel du Ministère public Le Parquet considère qu’au regard de la gravité de la faute commise et des antécédents du prévenu, la peine infligée de 45 jours-amendes est trop clémente. Il considère comme adéquate une peine pécuniaire de 90 jours-amendes à 100 fr. le jour-amende. Il requiert également la révocation du sursis qui avait été accordé le 18 mars 2008 au prévenu par Préfecture du district de Lavaux-Oron.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qui conserve donc toute sa valeur (ATF 134 IV 17 c. 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 citées). 3.1.2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sursis est désormais la règle dont on ne peut s’écarter qu’en présence d’un pronostic défavorable; il prime en cas d’incertitude (ATF 134 IV 1 c. 4.2.1 p. 5).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 7.3.1 p. 75). La combinaison prévue à l'art. 42 al. 4 CP constitue un "sursis qualitativement partiel" (ATF 134 IV 1 c. 4.5.2 p. 8).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 4.5.2 p. 8; 134 IV 60 c. 7.3.2 p. 75). Pour tenir compte du caractère accessoire des peines cumulées, il se justifie en principe d'en fixer la limite supérieure à un cinquième, soit à 20 %, de la peine principale; des exceptions sont possibles en cas de peines de faible importance pour éviter que la peine cumulée n'ait qu'une portée symbolique (ATF 135 IV 188 c. 3.4.4 p. 191). 3.1.3 Selon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CP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 4.5 p. 144).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(ATF 134 IV 140 c. 5.3).</w:t>
      </w:r>
    </w:p>
    <w:p>
      <w:r>
        <w:rPr>
          <w:b/>
        </w:rPr>
        <w:t>E. 3.2</w:t>
      </w:r>
    </w:p>
    <w:p>
      <w:r>
        <w:t>Il convient tout d’abord d’examiner la peine prononcée. En l'espèce, le prévenu s'est rendu coupable d'homicide par négligence. Il a commis une faute grave. En effet, il s'est engagé dans la voie de présélection sans voir le motocycliste qui arrivait en sens inverse, à courte distance, lui coupant ainsi la priorité. Cette faute commise, qui est exclusive, a provoqué le décès de deux personnes. Par ailleurs, le prévenu aurait dû redoubler d’attention, dès lors qu’il arrivait aux abords d’une manifestation publique. Cela est d’autant plus vrai qu’il est un conducteur expérimenté titulaire du permis de conduire depuis 1978. Enfin, toujours à charge, ses antécédents en matière de circulation routière ne sont pas favorables. Ainsi, il a déjà été condamné à deux reprises, soit en 2001 et 2008, pour des infractions à la LCR. Le second de ces antécédents peut être qualifié de récent. En revanche, le conducteur n’était pas particulièrement fatigué, ni sous l’influence de l’alcool. Le prévenu reconnaît et assume sa faute. Son comportement à la suite de l’accident le jour en question a été exemplaire. Aujourd’hui encore, il est manifestement très affecté par ces événements. La prise de conscience de sa propre faute semble réelle et sincère, même s’il n’a pas pris spontanément contact avec les familles des victimes, peut-être par pudeur. Au regard de ces éléments à charge et à décharge, les premiers juges ont prononcé une peine pécuniaire de 45 jours-amendes cumulée avec une amende de 2'500 fr. Cette peine est certes modérée, mais ne saurait être considérée comme exagérément clémente. Toutefois, par son montant, cette dernière sanction ne constitue plus une peine accessoire. Dans le cas particulier, pour des motifs de prévention spéciale (cf. 3.1.4 ci-dessus), il est vrai qu’il se justifie de prononcer une peine ferme sous la forme d’une amende, qui doit correspondre à un cinquième de la peine principale (cf. ATF 135 IV 188 c. 3.4.4 p. 191, précité). Les premiers juges ont méconnu ce principe en fixant une peine d'amende d'une quotité excessive par rapport à la peine pécuniaire. Cela étant, il y a lieu de statuer d'office sur les deux peines à prononcer, la peine accessoire d'amende devant être en adéquation avec la peine principale. Au regard de l'ensemble des éléments précités, le prévenu doit être condamné à une peine pécuniaire de 60 jours-amende et à une amende de 1'000 fr. Pour le reste, le montant du jour-amende n'est pas contesté.</w:t>
      </w:r>
    </w:p>
    <w:p>
      <w:r>
        <w:rPr>
          <w:b/>
        </w:rPr>
        <w:t>E. 3.3</w:t>
      </w:r>
    </w:p>
    <w:p>
      <w:r>
        <w:t>Il convient ensuite d’examiner la question du sursis et de la révocation du précédent sursis accordé par le prononcé préfectoral du 18 mars 2008. Le fait que le prévenu a déjà été condamné à deux reprises pour des infractions à la LCR constitue un élément défavorable. Il n'en reste cependant pas moins qu’en cours de procédure, l'intimé a reconnu sa faute et sa responsabilité. Il a admis qu’il n’avait ni vu, ni entendu le motocycle arriver; de même, il a précisé ne pas avoir marqué un temps d’arrêt ferme avant de tourner. Son comportement à la suite de l’accident le jour en question a été exemplaire. Par ailleurs, il est encore manifestement très affecté par ces événements. Au regard de ses déclarations au cours des débats de première instance, la prise de conscience du prévenu de sa propre faute semble réelle et sincère, même s’il n’a pas pris spontanément contact avec les familles des victimes peut-être par pudeur. Aucun élément contraire n'est ressorti de l'audience d'appel. Au regard de ces facteurs, on doit admettre que la combinaison d'une amende (à titre de sanction immédiate) au sens de l'art. 42 al. 4 CP avec le sursis ainsi que la durée maximale du délai d’épreuve qui lui a été imposée sont suffisants, sous l'angle de la prévention spéciale, pour pouvoir poser un pronostic favorable. Il convient par conséquent d'assortir du sursis la peine principale. Par identité de motifs, il n’y a pas non plus lieu de révoquer le précédent sursis.</w:t>
      </w:r>
    </w:p>
    <w:p>
      <w:r>
        <w:rPr>
          <w:b/>
        </w:rPr>
        <w:t>E. 4</w:t>
      </w:r>
    </w:p>
    <w:p>
      <w:r>
        <w:t>En conclusion, le recours du Parquet doit être partiellement admis en ce sens que la peine doit ainsi être fixée à 60 jours-amende et à une amende de 1'000 fr.</w:t>
      </w:r>
    </w:p>
    <w:p>
      <w:r>
        <w:rPr>
          <w:b/>
        </w:rPr>
        <w:t>E. 5</w:t>
      </w:r>
    </w:p>
    <w:p>
      <w:r>
        <w:t>Appel d'A.D.________, B.D.________, C.D.________ et D.D.________ Faisant d'abord grief aux premiers juges de ne pas avoir statué sur leurs conclusions civiles, les appelants invoquent une violation de l’art. 126 al. 3 CPP.</w:t>
      </w:r>
    </w:p>
    <w:p>
      <w:r>
        <w:rPr>
          <w:b/>
        </w:rPr>
        <w:t>E. 5.1</w:t>
      </w:r>
    </w:p>
    <w:p>
      <w:r>
        <w:t>Aux termes de l’art. 126 CPP, le tribunal statue également sur les conclusions civiles présentées lorsqu’il rend un verdict de culpabilité à l’encontre du prévenu (al. 1 let. b). Il renvoie la partie plaignante à agir par la voie civile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(al. 3). Cette disposition a la même teneur que le texte abrogé de l’art. 38 al. 1 à 3 LAVI. Selon la jurisprudence relative à cette dernière disposition, le renvoi devant les tribunaux civils ne se justifie que dans les cas où la détermination du préjudice exige des recherches importantes et difficiles. Ce genre de complications justifie, dans l'intérêt de la victime, de n'adjuger l'action civile que dans son principe. Il ne faut toutefois pas recourir trop facilement à cette solution. Il ne suffirait notamment pas de dépenses supplémentaires susceptibles de modifier le montant du dommage. Il faut que le jugement exige un travail disproportionné par quoi il faut entendre des recherches compliquées propres à retarder considérablement le jugement. L'importante exception au principe que constitue le renvoi au juge civil impose en effet de n'en faire qu'une application restrictive. Lorsqu'il s'agit uniquement de fixer un montant et que, par exemple, un certificat médical ou une expertise fait défaut, il convient alors de ne statuer que sur la question pénale et de traiter ultérieurement les prétentions civiles, après l'obtention des pièces requises. Si malgré la production des pièces requises, le jugement des prétentions civiles, dans un second temps, exigerait un travail disproportionné, les premiers juges pourraient toujours se limiter à adjuger l'action civile dans son principe et renvoyer la victime pour le reste devant les tribunaux civils (cf. ATF 123 IV 78 c. 2). Cette jurisprudence s'applique également par analogie quant à l'interprétation du nouvel art. 126 CPP.</w:t>
      </w:r>
    </w:p>
    <w:p>
      <w:r>
        <w:rPr>
          <w:b/>
        </w:rPr>
        <w:t>E. 5.2</w:t>
      </w:r>
    </w:p>
    <w:p>
      <w:r>
        <w:t>Les appelants requièrent le versement de 6'229 fr. 30 à titre de frais de rapatriement, ce poste du dommage ayant clairement été documenté par pièce et par la déposition du témoin [...], entendue lors de l’audience du 7 avril 2011. Selon les faits retenus, qui ne sont pas contestés par les appelants, les frais de rapatriement ont été réglés par [...], sans que l’on sache pour autant à quel titre cette amie du défunt a procédé à ce paiement, en particulier si cet argent a été avancé et prêté ou donné à la famille. Lors des débats de première instance, ce témoin, qui a partagé la vie du défunt de 2006 à 2008, a notamment fait les déclarations suivantes : «… Il est exact que je me suis occupée de plusieurs aspects administratifs suite au décès. J’ai continué à payer pendant un certain temps le loyer de l’appartement qu’il occupait. J’ai financé encore le rapatriement du corps du défunt. J’ai dû payer environ 6'000 fr. Il était exclu, vu leur situation financière, que la famille paye. La famille du défunt en Iran vit moyennement. Ils ne sont pas dans la misère, mais vivent chichement. (…)». Il résulte des faits précités que les appelants n’ont subi aucun dommage en relation avec les frais de rapatriement du défunt. En effet, comme ils l’admettent eux-mêmes et conformément aux déclarations du témoin [...], ces frais ont été pris en charge par cette dernière. Par ailleurs, au regard du témoignage énoncé, celle-ci n’a manifestement pas l’intention de demander le remboursement de la somme relative aux frais susmentionnés. Par ailleurs, les appelants ne soutiennent pas, à plus forte raison ne démontrent d’aucune manière que [...] aurait requis quelque dédommagement que ce soit à ce titre. Le grief est donc rejeté.</w:t>
      </w:r>
    </w:p>
    <w:p>
      <w:r>
        <w:rPr>
          <w:b/>
        </w:rPr>
        <w:t>E. 5.3</w:t>
      </w:r>
    </w:p>
    <w:p>
      <w:r>
        <w:t>Les appelants requièrent ensuite l'allocation du montant de 4'320 fr. à titre de frais de traduction. Les premiers juges ont considéré que les frais de traduction n’étaient pas suffisamment documentés. Cette appréciation ne porte pas le flanc à la critique. En effet, dans le cadre de leurs conclusions civiles, les appelants ont uniquement produit une facture pour un total de 4'320 fr. et portant sur la traduction en français de 16 cartes postales, 15 factures de téléphones, quatre cartes d’identité, dix documents divers et 51 pages de correspondances (cf. pièce n° 63 du dossier). Le document produit ne permet toutefois pas de déterminer si les traductions sollicitées ont précisément porté sur des éléments utiles et pertinents à la défense de leurs droits dans la présente procédure. Ainsi, le document produit est notamment insuffisant pour établir un lien de causalité entre les dépenses de traduction et la procédure pénale. Par ailleurs, les appelants, dans leurs écritures, n’allèguent ni ne démontrent d’aucune manière, qu’il s’agirait à cet égard de dépenses obligatoires occasionnées par la procédure. En conclusion, la critique doit être rejetée.</w:t>
      </w:r>
    </w:p>
    <w:p>
      <w:r>
        <w:rPr>
          <w:b/>
        </w:rPr>
        <w:t>E. 5.4</w:t>
      </w:r>
    </w:p>
    <w:p>
      <w:r>
        <w:t>En définitive, s'agissant des conclusions civiles, c'est conformément à l'art. 126 al. 2 let. b et al. 3, 1 ère phrase, CPP que les premiers juges les ont, au regard de la complexité présentée par les autres conclusions en réparation des parties civiles et compte tenu du fait que certaines conclusions sont insuffisamment motivées, renvoyées à agir devant le juge civil en leur donnant acte de leurs réserves civiles contre l'intimé.</w:t>
      </w:r>
    </w:p>
    <w:p>
      <w:r>
        <w:rPr>
          <w:b/>
        </w:rPr>
        <w:t>E. 6</w:t>
      </w:r>
    </w:p>
    <w:p>
      <w:r>
        <w:t>Les appelants requièrent enfin un montant de 16'000 fr. à titre de dépens pénaux.</w:t>
      </w:r>
    </w:p>
    <w:p>
      <w:r>
        <w:rPr>
          <w:b/>
        </w:rPr>
        <w:t>E. 6.1</w:t>
      </w:r>
    </w:p>
    <w:p>
      <w:r>
        <w:t>Selon l’art. 433 al. 1 CPP, dans les cas suivants, la partie plaignante peut demander au prévenu une juste indemnité pour les dépenses obligatoires occasionnées par la procédure : elle obtient gain de cause (let. a), le prévenu est astreint au paiement des frais conformément à l’art. 426 al. 2 (let. b). L’art. 433 al. 2 CPP précise que la partie plaignante adresse ses prétentions à l’autorité pénale; elle doit les chiffrer et les justifier. Si elle ne s’acquitte pas de cette obligation, l’autorité pénale n’entre pas en matière sur la demande. Les victimes LAVI devraient obtenir dans le cadre de la procédure pénale la condamnation de l'auteur au paiement de l'intégralité des honoraires d'avocat, sous réserve de leur proportionnalité (ATF 133 II 361 c. 5.4).</w:t>
      </w:r>
    </w:p>
    <w:p>
      <w:r>
        <w:rPr>
          <w:b/>
        </w:rPr>
        <w:t>E. 6.2</w:t>
      </w:r>
    </w:p>
    <w:p>
      <w:r>
        <w:t>Les appelants ont produit une note d’honoraires faisant état de 15 heures effectuées par l’avocat et de 44 heures par les stagiaires, sans toutefois indiquer de tarif horaire. Au regard des difficultés de la cause - étant relevé cependant que le prévenu a admis les faits - de l’éloignement géographique des parties civiles, du travail accompli au regard du dossier, et des conclusions prises par les victimes et admises que très partiellement par les autorités, on doit admettre que l’indemnité allouée, par 8'000 fr., est proportionnée et adéquate.</w:t>
      </w:r>
    </w:p>
    <w:p>
      <w:r>
        <w:rPr>
          <w:b/>
        </w:rPr>
        <w:t>E. 7</w:t>
      </w:r>
    </w:p>
    <w:p>
      <w:r>
        <w:t>En conclusion, l’appel des parties civiles doit être rejeté. Au regard de la situation économique des appelants (cf. c. 5.2 ci-dessus), les frais de la cause afférents à leur appel sont laissés à la charge de l’Etat (cf. l'art. 425, seconde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