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642 vom 29. Juni 2011</w:t>
      </w:r>
    </w:p>
    <w:p>
      <w:r>
        <w:t>VD Tribunal cantonal, 2011-06-29, FR</w:t>
      </w:r>
    </w:p>
    <w:p>
      <w:r>
        <w:rPr>
          <w:b/>
        </w:rPr>
        <w:t xml:space="preserve">Quelle: </w:t>
      </w:r>
      <w:r>
        <w:t>https://mcp.opencaselaw.ch/entscheid/vd_findinfo_D_cision___2011___642</w:t>
      </w:r>
    </w:p>
    <w:p>
      <w:r>
        <w:t>FR: VD_FINDINFO Décision / 2011 / 642 du 29 juin 2011</w:t>
      </w:r>
    </w:p>
    <w:p>
      <w:r>
        <w:t>IT: VD_FINDINFO Décision / 2011 / 642 del 29 giugno 2011</w:t>
      </w:r>
    </w:p>
    <w:p>
      <w:pPr>
        <w:pStyle w:val="Heading2"/>
      </w:pPr>
      <w:r>
        <w:t>Regeste</w:t>
      </w:r>
    </w:p>
    <w:p>
      <w:r>
        <w:t>TORT MORAL | 47 CO, 49 al. 1 CO</w:t>
      </w:r>
    </w:p>
    <w:p>
      <w:pPr>
        <w:pStyle w:val="Heading2"/>
      </w:pPr>
      <w:r>
        <w:t>Erwägungen</w:t>
      </w:r>
    </w:p>
    <w:p>
      <w:r>
        <w:rPr>
          <w:b/>
        </w:rPr>
        <w:t>E. 2</w:t>
      </w:r>
    </w:p>
    <w:p>
      <w:r>
        <w:t>L'appelant fait valoir que l'indemnité allouée en réparation de son tort moral est dérisoire au regard des souffrances endurées et du sentiment d'humiliation qui l'habite. Ce faisant, il se prévaut d'une fausse application du droit matériel, s'agissant du caractère équitable de l'indemnité prévue par l'art. 47 CO (cf. ci-dessous). Les faits déterminants ne sont pas contestés. 3.1 En vertu de l’art. 49 al. 1 CO,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une indemnité équitable à titre de réparation morale. 3.2 Selon la jurisprudence et la doctrine, l’art. 47 CO est un cas d’application de l’action générale en réparation du tort moral prévue par l’art. 49 CO : cela signifie que la victime de lésions corporelles n’a droit à une réparation morale que pour autant que la gravité de l’atteinte le justifie (ATF 128 II 49c. 4.2; ATF 123 III 204c. 2e, JT 1999 I 9; Tercier, Le nouveau droit de la personnalité, Zurich 1984, n. 2047 ss, pp. 270 s.; Deschenaux et Tercier, La responsabilité civile, 2ème éd., Berne 1982, n. 24 s., p. 93). On définit le tort moral comme les souffrances physiques ou psychiques que ressent la personne lésée à la suite d’une atteinte à la personnalité (Tercier, op. cit., n. 2029, p. 267). Cette indemnité a pour but exclusif de compenser le préjudice que représente une atteinte au bien-être moral. Le principe d'une indemnisation du tort moral et l'ampleur de la réparation dépendent d'une manière décisive de la gravité de l'atteinte – ou, plus exactement, de la gravité des souffrances physiques ou psychiques consécutives à cette atteinte –,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 2.2.2; ATF 123 III 306 c. 9b; TF 4A_489/2007 du 22 février 2008 c. 8.2). Les circonstances particulières visées par l’art. 47 CO résident dans l'importance de l'atteinte à la personnalité du lésé.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de même que les préjudices psychiques importants tel qu’un état post-traumatique conduisant à un changement durable de la personnalité (TF 4A_373/2007 du 8 janvier 2008 c. 3.2, non publié in : ATF 134 III 97; TF 4A_481/2009 du 26 janvier 2010 c. 6.2; Keller, Haftpflicht im Privatrecht, vol. II, 2ème éd., Berne 1998, p. 132; Guyaz, L'indemnisation du tort moral en cas d'accident, in : SJ 2003 II p. 1ss, spéc. p. 16). Selon Hirsch (Le tort moral dans la jurisprudence récente, in : Werro/Pichonnaz, Le préjudice corporel : bilan et perspectives, Colloque du droit de la responsabilité civile 2009, pp. 264-265), la doctrine admet en principe qu’une atteinte à l’esthétique justifie une indemnité pour tort moral. La jurisprudence citée est ancienne et il n’est pas certain qu’elle reste valable sans changement. Les critiques relèvent que la souffrance morale découlant de l’atteinte esthétique n’atteint pas le niveau d’intensité normalement requis pour l’allocation du tort moral. Si l’atteinte esthétique ne suffit pas en elle-même à l’allocation d’une indemnité pour tort moral, elle devrait pour le moins, si elle s’ajoute à une souffrance justifiant l’allocation d’une indemnité pour tort moral, être prise en compte pour la fixation de cette indemnité. 3.3 La détermination de l’indemnité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ATF 118 II 410). La fixation de l’indemnité pour tort moral est une question d’application du droit fédéral.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140, précité). Toutefois, comme il s’agit d’une question d’équité – et non pas d’une question d’appréciation au sens strict, qui limiterait son pouvoir d’examen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10c. 4c/aa; ATF 118 II 140, précité).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 3.4 Cité par l’appelant, Hirsch (op. cit., pp. 260 ss) relève que la jurisprudence (du Tribunal fédéral) n’est pas particulièrement abondante. Le Tribunal fédéral considère que l’évaluation de l’indemnité équitable due à titre de réparation morale est principalement du ressort des tribunaux cantonaux et s’impose une retenue particulière s’agissant de revoir l’appréciation de ceux-ci. La jurisprudence est ainsi essentiellement cantonale en pratique. Le Tribunal fédéral veille au maintien d’une certaine cohérence, discute parfois des exemples comparatifs, mais les comparaisons ne le convainquent pas toujours. Il reconnaît que les montants peuvent varier sensiblement. Toujours selon Hirsch (op. cit., pp. 282-283), l’impression semble dominer que la jurisprudence a tendance à augmenter au cours du temps le montant des indemnités pour tort moral. La doctrine l’affirme parfois. S’il y a indéniablement eu une augmentation substantielle ces dernières décennies, la tendance de ces dix dernières années ne permet pas de constater d’augmentation significative. (…) S’agissant des montants importants en tout cas, la jurisprudence des dix dernières années donne plutôt l’impression d’un cadre stable que d’une augmentation des montants. 4.1 En l'espèce, l’appelant fait valoir qu’il n’a, à ce jour, reçu d’autre traitement que la remise d’un « pseudo-dentier » qui endommagerait ses dents saines, parce que le Service pénitentiaire est en litige avec son assurance pour ce qui est des frais de traitement (soit de la prise en charge du dommage matériel). Il aurait dû prendre des calmants jusqu'à ce jour afin de diminuer l’intensité de ses douleurs. Lors de l’audience du Tribunal correctionnel de l’Est vaudois, au cours de laquelle il avait à être jugé au pénal, il avait eu de la difficulté à s’exprimer et à se défendre correctement, parce qu’il lui manquait des dents. Il continuait à souffrir en se voyant tous les matins dans son miroir. Il vivait tout cela comme une humiliation. Un devis produit en première instance attestait de l’ampleur des opérations qu’il devait subir. L’appelant fait également valoir que l’indemnisation dépend aussi de la faute de l’auteur. Or, c'était pour une peccadille que ce dernier l’avait violemment frappé. 4.2 Les éléments suivants ressortent du dossier, le reste n’étant pas établi : Lorsqu’un médecin du Centre universitaire romande de médecine légale l’a examiné le 13 août 2010, surlendemain des faits, l’appelant se plaignait de ne pas pouvoir ouvrir la bouche, ni donc parler ou s’alimenter; en particulier, faute de pouvoir parler, il n'a répondu que par écrit aux questions qui lui étaient posées. Il a été emmené à la Policlinique dentaire seulement douze heures après les faits. Plusieurs dents ont été extraites. La plaie de la lèvre supérieure n’a pas pu être suturée en raison du délai écoulé (P. 5/1, dossier D). Il ressort d'une coupure de presse versée au dossier (P. 5/5, dossier D) que lorsqu’il a été jugé, le 18 août 2010, l’appelant n’a rien dit, faisant lire ses réponses, écrites, par son avocat, ou répondant par signe, parce qu’il disait souffrir trop pour parler. Lors de son audition du 13 septembre 2010 (pv 4, dossier D), l'appelant a déclaré être « sous traitement d’anti-dépresseurs et de somnifères » et avoir demandé à bénéficier d’une aide psychiatrique. La Policlinique a établi un certificat médical le 5 octobre 2010. Il en ressort les éléments suivants : l'appelant a été vu en consultation les 12 et 24 août, ainsi que les 1 er et 3 septembre 2010. Les dommages qui demeurent sont compensables par des moyens chirurgicaux et prothétiques. Le descellement du bridge et l’impossibilité de le repositionner durablement sur les piliers résiduels sont à l’origine d’un dommage esthétique et d’un déficit fonctionnel de la capacité masticatoire. Le patient dispose d’une prothèse amovible provisoire réalisée le 3 septembre 2010, qui compense temporairement le préjudice esthétique et partiellement le préjudice fonctionnel. Un plan de traitement a été établi, qui prévoit une greffe osseuse, des implants en place des dents 12, 13, 22 et 23 et un bridge des dents 13 à 23 (P. 13, dossier D). Aux débats de première instance, C.________ a déclaré qu’il lui avait fallu « quelques jours pour [s’]en remettre », qu’il essayait de se faire soigner depuis douze mois, mais qu’il n’y arrivait pas car il y avait « des problèmes au niveau de l’assurance » (jugement, p. 5). Son avocat a cependant produit un onglet de pièces sous bordereau (P. 87), notamment deux lettres du 11 mai 2011 du Service pénitentiaire qui, eu égard à la lenteur des contacts entre l’assurance du détenu et la Policlinique, a finalement accepté de prendre à sa charge des soins à concurrence du devis, de 22'000 fr. 60. 4.3 Sur le base de ces éléments, on constate que le lésé, âgé de 52 ans au moment de l’agression, présentait alors une dentition qui n’était déjà plus parfaite, puisqu’il portait notamment un pont sur les dents 13 à 23. Trois dents, dont deux déjà « couvertes » par le bridge, ont été atteintes et extraites. L’appelant n’a pas subi d’incapacité de travail, puisqu’il était en détention préventive lors de la survenance du dommage et de ses suites. Il tombe sous le sens que ce n’est pas non plus en prison que l'atteinte à l'apparence physique se fait sentir dans la vie sociale, de sorte que le préjudice esthétique provisoire ne joue pas de rôle dans l’appréciation de ses souffrances. Il n'a été soigné qu'après douze heures d’attente, ce qui représente effectivement une souffrance non négligeable. On peut admettre que l'appelant a eu mal ensuite pendant au maximum un mois, comme cela ressort de de ce qui précède, mais non durant un an comme il le prétend en appel. En effet, aucun certificat médical ni les déclarations de l’intéressé n’établissent qu’il a dû prendre des calmants aussi longtemps. Il n’est pas non plus établi qu’il ait été traumatisé durablement par cet épisode. Enfin, rien ne permet d’affirmer que l’appelant a été condamné plus sévèrement parce qu’il n’a pas pu ouvrir la bouche lors de l'audience de jugement de la cause dirigée contre lui. Un traitement provisoire, fonctionnel et donc relativement satisfaisant, a été mis en place, en attendant le traitement définitif qui a tardé à être dispensé, mais que plus rien n’empêchait au jour du jugement de première instance. La souffrance morale à compenser est donc liée aux souffrances physiques ressenties à la suite de l’agression et au retard du traitement définitif. Si l’on procède selon la méthode en deux temps décrite ci-dessus au c. 3.3. in fine , le montant de base à retenir, pour une blessure à la bouche et la perte de trois dents nécessitant un important traitement orthodontique, pourrait être de l’ordre de 5'000 fr. et non de 10'000 fr., somme qui ne paraît concerner que des cas plus graves. Il en va de même du retard du traitement définitif, dans une mesure modeste, puisqu’il y a tout de même eu un traitement provisoire. D’un autre côté, l’indemnité peut être réduite pour tenir compte de la dentition déjà atteinte et de l'absence d’incapacité de travail. En définitive le montant retenu par les premiers juges tient suffisamment compte de la gravité de l’atteinte.</w:t>
      </w:r>
    </w:p>
    <w:p>
      <w:r>
        <w:rPr>
          <w:b/>
        </w:rPr>
        <w:t>E. 5</w:t>
      </w:r>
    </w:p>
    <w:p>
      <w:r>
        <w:t>Cela étant, l’appelant se prévaut, à titre de comparaison, de l’arrêt rendu par le Tribunal fédéral le 21 février 2007 (1P.821/2006). Dans cette affaire, toutefois, le Tribunal fédéral n’a pas été amené à se pencher sur le montant de l’indemnité allouée à la victime, de sorte que l’on ignore comment il a été fixé. Dès lors, l'indemnisation (de 8'000 fr.) allouée par la juridiction cantonale en réparation du tort moral consécutif à diverses lésions corporelles n'a pas été confirmée dans sa quotité par la juridiction fédérale. On peut toutefois relever qu’il s’agissait d’une altercation entre employées d’un bar à champagne : le préjudice esthétique pourrait dès lors avoir joué un rôle dans la détermination de l'indemnisation, s'agissant d'une activité lucrative dont l'exercice est tributaire de l'apparence physique. Il s'ensuit que le cas d'espèce dont se prévaut l'appelant ne lui est d'aucun secours faute d'analogie suffisante.</w:t>
      </w:r>
    </w:p>
    <w:p>
      <w:r>
        <w:rPr>
          <w:b/>
        </w:rPr>
        <w:t>E. 6</w:t>
      </w:r>
    </w:p>
    <w:p>
      <w:r>
        <w:t>Le jugement dont est appel ne procède donc pas d'une violation du droit privé fédéral.</w:t>
      </w:r>
    </w:p>
    <w:p>
      <w:r>
        <w:rPr>
          <w:b/>
        </w:rPr>
        <w:t>E. 7</w:t>
      </w:r>
    </w:p>
    <w:p>
      <w:r>
        <w:t>L'appelant succombant entièrement sur ses conclusions, les frais de la procédure d'appel selon l'art. 424 CPP doivent être mis à sa charge (art. 428 al. 1, 1ère phrase, CPP). Outre l'émolument, ces frais comprennent l’indemnité d’office allouée à son conseil (cf. les art. 136 al. 2 let. c et 422 al. 2 let. a CPP; art. 2 al. 2 ch. 1 TFJP [RSV 312.03.1 ]). Vu l'ampleur et la complexité de la cause, l'indemnité doit être arrêtée à 540 fr. en plus de 43 fr. 20 de TVA, cette indemnité correspondant à trois heure d'activité du conseil (cf. l'art. 135 al. 1 CPP, par renvoi de l'art. 138 al. 1 CPP; TF, 2P.325/2003 du 6 juin 2006). En revanche, il n'y a pas lieu d'allouer d'indemnité au défenseur d'office de l'intimé pour la procédure d'appel, cette partie s'étant limitée à s'en remettre à justice. C.________ ne sera tenu de rembourser à l’Etat le montant de l’indemnité en faveur de son conseil d’office prévue ci-dessus que lorsque sa situation financière le permettra (art. 135 al. 4 let. a CPP, par renvoi de l'art.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