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600 vom 6. Mai 2011</w:t>
      </w:r>
    </w:p>
    <w:p>
      <w:r>
        <w:t>VD Tribunal cantonal, 2011-05-06, FR</w:t>
      </w:r>
    </w:p>
    <w:p>
      <w:r>
        <w:rPr>
          <w:b/>
        </w:rPr>
        <w:t xml:space="preserve">Quelle: </w:t>
      </w:r>
      <w:r>
        <w:t>https://mcp.opencaselaw.ch/entscheid/vd_findinfo_D_cision___2011___600</w:t>
      </w:r>
    </w:p>
    <w:p>
      <w:r>
        <w:t>FR: VD_FINDINFO Décision / 2011 / 600 du 6 mai 2011</w:t>
      </w:r>
    </w:p>
    <w:p>
      <w:r>
        <w:t>IT: VD_FINDINFO Décision / 2011 / 600 del 6 maggio 2011</w:t>
      </w:r>
    </w:p>
    <w:p>
      <w:pPr>
        <w:pStyle w:val="Heading2"/>
      </w:pPr>
      <w:r>
        <w:t>Regeste</w:t>
      </w:r>
    </w:p>
    <w:p>
      <w:r>
        <w:t>RÉVOCATION DU SURSIS, SURSIS PARTIEL À L'EXÉCUTION DE LA PEINE, SURSIS À L'EXÉCUTION DE LA PEINE, FIXATION DE LA PEINE | 42 al. 2 CP, 46 al. 1 CP, 46 al. 2 CP, 47 CP</w:t>
      </w:r>
    </w:p>
    <w:p>
      <w:pPr>
        <w:pStyle w:val="Heading2"/>
      </w:pPr>
      <w:r>
        <w:t>Erwägungen</w:t>
      </w:r>
    </w:p>
    <w:p>
      <w:r>
        <w:rPr>
          <w:b/>
        </w:rPr>
        <w:t>E. 2</w:t>
      </w:r>
    </w:p>
    <w:p>
      <w:r>
        <w:t>produite avec l’appel confirme que la capacité de discernement du prévenu est maintenue et que l'intéressé ne présente pas de problèmes de santé liés à sa grève de la faim autres qu’une perte de poids importante et une déshydratation. Dans ces conditions les griefs de l’appelant déduits de l'art. 398 al. 3 let. b CPP concernant une prise en considération insuffisante de sa situation personnelle sont infondés. 3.1 L’appelant fait ensuite valoir que le Parquet avait requis une peine d’ensemble de deux ans, comprenant la révocation du précédent sursis. Il reproche aux premiers juges de lui avoir infligé une peine plus lourde que celle requise et leur fait grief de ce que la sanction prononcée n’est, selon lui, ni « complémentaire » ni « d’ensemble » par rapport à la peine précédente. 3.2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L'art. 49 al. 2 CP 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3.3 Le prévenu a été condamné, par jugement du 4 juin 2009 du Tribunal correctionnel de l'arrondissement de Lausanne, à une peine privative de liberté de dix-huit mois, sous déduction de 242 jours de détention avant jugement, dont neuf mois avec sursis pendant deux ans, à quarante jours-amende de 20 fr. dont vingt jours-amende avec sursis pendant deux ans, ainsi qu’à une amende de 1'000 fr. Ce jugement a été confirmé par arrêt de la Cour de cassation pénale du 10 septembre 2009. Les faits reprochés au prévenu dans la présente affaire datent d’avril et de juillet 2010. Ils sont postérieurs au jugement du 4 juin 2009 et à l’arrêt du 10 septembre 2009 précités. Les infractions ont été commises durant le délai d'épreuve du sursis. Il n’y avait donc pas matière à prononcer une peine « complémentaire » au sens de l’art. 49 al. 2 CP. Bien plutôt, s'agissant de la révocation d'un sursis, la norme topique est l'art. 46 al. 2 CP, précité. Comme déjà relevé, le prononcé d'une peine d'ensemble constitue une faculté et non une obligation. La précédente condamnation portait sur une peine privative de liberté et sur une peine pécuniaire. Les premiers juges ont choisi d’ordonner l’exécution de ces deux peines sans les modifier. Dans ces conditions, la peine à prononcer pour les faits de la présente cause n’est pas « d’ensemble » au sens de la norme topique précitée, mais ne fait que s'ajouter aux précédentes selon l'art. 46 al. 1, 1 ère phrase, CP. Enfin, le tribunal n’est bien sûr pas lié par les réquisitions du Ministère public, mais uniquement par les principes généraux résultant de la loi et de la jurisprudence en matière de fixation de la peine. 4.1 L'appelant critique ensuite la quotité de la peine d'une manière générale. Il soutient que sa quotité est excessive. 4.2 L'art. 47 al. 1 CP, qui régit la quotité de la peine au vu de la culpabilité de l'auteur,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La culpabilité de l'auteur doit être évaluée en fonction de tous les éléments objectifs pertinents, qui ont trait à l'acte lui-même, à savoir notamment la gravité de la lésion, le caractère répréhensible de l'acte;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etribunal correctionnel.), la vulnérabilité face à la peine, de même que le comportement après l'acte et au cours de la procédure pénale (TF 6B_722/2010 du 17 février 2011 c. 1.2). Il faut ensuite aggraver ou atténuer la peine en fonction des circonstances spéciales réalisées. Même sous le régime de l'appel, fixer la peine est une prérogative du juge de première instance, qui dispose d’une certaine latitude. Partant, même si l’autorité d’appel peut censurer l’excès et l’abus du pouvoir d’appréciation (art. 398 al. 3 let. a CPP, précité), elle doit s’imposer une retenue dans son examen. 4.3 La peine se situe dans le cadre fixé par les art. 180 et 186 CP, élargi par l’art. 49 al. 1 CP, mentionné au début du dispositif, si ce n’est dans la discussion de la peine. Sous l'angle de l'art. 47 CP, les éléments d’appréciation retenus à charge et à décharge, auxquels il suffit de renvoyer, sont pertinents. Le Tribunal a en effet tenu compte des faits, du mobile, de la situation du prévenu, de ses antécédents et de son attitude durant la procédure. Aucun élément déterminant au regard de l'art. 47 CP n'a été omis, respectivement ne s'est vu conférer une portée excessive ou insuffisante. Pour le reste, le tribunal n’a pas tenu compte d’éléments étrangers à l’art. 47 CP. Partant, la motivation est suffisante au regard des exigences de l'art. 50 CP. Compte tenu en particulier des circonstances atypiques du cas d'espèce, à savoir de l'acharnement hors du commun, expressément relevé par les premiers juges, dont fait preuve l'appelant envers son ex-épouse, ainsi que de son refus revendiqué d'accepter son divorce, la peine privative de liberté prononcée ne procède pas d'une violation du droit fédéral, y compris l’excès et l’abus du pouvoir d’appréciation, au sens de l'art. 398 al. 3 let. a CPP. Au vu de qui précède, la quotité de la peine doit être confirmée. 5.1 Sous l'angle du refus du sursis (entier, respectivement partiel), l’appelant soutient que le pronostic défavorable émis par les premiers juges ne repose sur aucun élément concret. Il reproche au tribunal correctionnel de n’avoir requis « ni expertise, ni pièces ». Il relève qu’après sa libération, le 5 juillet 2009, il s’est bien comporté jusqu’aux faits de la présente cause, le 3 juillet 2010, soit durant un an. Il fait grief aux premiers juges de l’avoir considéré comme un « délinquant d’habitude » et d’avoir voulu prononcer une peine « exemplaire », alors qu’il s’agirait d’un acte isolé commis sous l’influence de l’alcool. 5.2.1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Selon l’art. 42 al. 2 CP, si, durant les cinq ans qui précèdent l’infraction, l’auteur a été condamné à une peine privative de liberté ferme ou avec sursis de six mois au moins, il ne peut y avoir de sursis à l’exécution de la peine qu’en cas de circonstances particulièrement favorables. 5.2.2 Selon la jurisprudence, les conditions subjectives auxquelles l'art. 42 CP soumet l'octroi du sursis intégral s'appliquent également à l'octroi du sursis partiel (ATF 134 IV 1 c. 5.3.1). Par conditions subjectives, il faut entendre notamment la condition posée à l'art. 42 al. 2 CP (ATF 134 IV 1 c. 4.2 et 4.2.3). Il s'ensuit que l'octroi du sursis partiel est exclu si, durant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6B_510/2010 du 4 octobre 2010 c. 1.1 et les références). Enfin, la doctrine a précisé que les antécédents visés par l’art. 42 al. 2 CP étaient les condamnations définitives et exécutoires (cf. Schneider/Garré, in : Basler Kommentar, Strafrecht I, 2 ème éd., Bâle 2007, n. 83 ad art. 42 CP). 5.3 Ici, l'on est dans un cas de récidive prévu par l'art. 42 al. 2 CP. Le problème ne se pose dès lors plus en terme de pronostic favorable présumé, comme pour ce qui est du sursis selon l'art. 42 al. 1 CP. Or, il ressort du jugement que le prévenu n’accepte toujours pas la séparation voulue par son épouse. Son comportement lui a valu une première condamnation en 2009 à raison de faits du même ordre. Une expertise psychiatrique a été effectuée dans le cadre de cette procédure pénale ; elle a conclu à un risque de récidive non négligeable, avec raison, puisque ce risque s’est concrétisé lorsque le prévenu a récidivé en 2010. Selon les premiers juges, la situation aujourd’hui est « rigoureusement identique » à celle qui prévalait lors de l'expertise. Le prévenu déclare encore ne pas accepter le divorce (p. 3), tient des propos inquiétants (p. 8-9), et refuse de dire qu’il changera de comportement une fois libéré (p. 10). Il a entamé une grève de la faim pour protester. On voit en outre que cette attitude n’a pas changé pendant la procédure d'appel. Le prévenu n’accepte aucune des décisions prises par les tribunaux civils et pénaux. Le fait qu’il n’ait commis de nouvelles infractions à l'encontre des siens « que » un an après sa libération ne saurait être considéré comme une circonstance particulièrement favorable. On constate a posteriori qu’au lieu de mettre ce temps à profit pour évoluer, il n’a fait que ruminer sa rancœur. D’ailleurs, il ressort du jugement que l'on ne sait pas très bien ce que le prévenu a fait durant cet intervalle; la plaignante dit avoir été menacée et avoir vu son ex-mari rôder autour de chez elle. Du reste, le pistolet avait été acquis, en violation de la LArm, précisément durant la période que l'appelant tient pour exempte de toute infraction. L’appelant n’indique pas quelle expertise ou pièces le tribunal aurait dû requérir. Comme déjà relevé, une expertise psychiatrique a été effectuée en 2009. Cet avis est assez récent pour qu’il soit encore valable à défaut de tout fait nouveau notable survenu dans l'intervalle. Le prévenu n’a d’ailleurs pas requis de nouvelle expertise, comme l’ont relevé les premiers juges. Il n’a pas non plus sollicité d’autres mesures d’instruction, que ce soit aux débats du tribunal correctionnel ou dans le cadre de son appel. En outre, rien dans le jugement ne permet de déduire que le prévenu a été considéré comme un « délinquant d’habitude », ni que le tribunal a voulu faire un exemple. Le jugement ne fait pas état d’une éventuelle alcoolisation du prévenu au moment des faits. Il ressort effectivement de la pièce 4 que, le 3 juillet 2010, l’intéressé présentait un taux d’alcool de 1,37 g o/oo. Cela étant, les premiers juges ont retenu une « diminution formelle de responsabilité » (p. 10 et le dispositif qui fait référence à l’art. 19 al. 2 CP) sur la base de l’expertise psychiatrique. Or, les experts, dans leur rapport (P. 8), se sont penchés sur la question de l’alcoolisation car ce fait était déjà invoqué pour l’un des épisodes alors reprochés à l’intéressé. Ils en ont tenu compte dans leurs conclusions en ce sens que l’alcool a pu favoriser une désinhibition (pp. 14 et 16). Leur appréciation est transposable aux faits survenus le 3 juillet 2010. Au surplus, ces infractions ne constituent pas un acte isolé et spontané à mettre sur le compte d'une alcoolisation, puisqu’il y a eu des précédents (le jugement du 4 juin 2009 retient plusieurs épisodes de harcèlement divers) et que, trois mois avant de menacer la plaignante, le prévenu avait pris soin d’acheter une arme avec la munition correspondante en quantité considérable. A défaut de circonstances particulièrement favorables au sens légal, il n'existe donc aucun élément de nature à renverser la présomption posée en défaveur du sursis par l'art. 42 al. 2 CP dans un cas semblable. Le refus du sursis découle ainsi directement de l'art. 42 al. 2 CP et sa motivation satisfait aux réquisits de l'art. 50 CP. Il ne procède pas d'une violation du droit fédéral, y compris d’un excès ou d’un abus du pouvoir d’appréciation, au sens de l'art. 398 al. 3 let. a CPP. On ne voit pas non plus en quoi le jugement entrepris serait inopportun à cet égard au sens de l'art. 398 al. 3 let. c CPP. 6.1 Enfin, l'appelant conteste la révocation du sursis assortissant la peine prononcée par le jugement du 4 juin 2009 du Tribunal correctionnel de l’arrondissement de Lausanne. En plaidoirie, il a fait valoir qu'un pronostic favorable devait être posé à son égard, pour le motif que les infractions ici en cause avaient été commises dans l'état émotionnel perturbé de manière récurrente résultant de son divorce. 6.2 La révocation du sursis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l'arrêt précité c. 5.3). La faculté qui est accordée au juge de modifier le genre de la peine révoquée pour fixer, avec la nouvelle sanction, une peine d'ensemble conformément à l'art. 46 CP peut se révéler problématique. La fixation d'une peine d'ensemble par application analogique de l'art. 46 CP n'entre pas en considération si la peine assortie du sursis révoqué et celle nouvellement prononcée sont du même genre (ATF 134 IV 241 c. 4.4.1). De plus, cette modification n'est que facultative (arrêt précité, ibid.); elle est donc laissée à l'appréciation du juge, qui doit toutefois motiver son choix sans abuser de son pouvoir. 6.3 Le prévenu a été condamné notamment pour menaces qualifiées et violation de domicile, ce déjà au préjudice de sa future ex-femme. Il y a donc une récidive spéciale, dans le délai d’épreuve de deux ans imparti par le jugement du 4 juin 2009. A ce jour encore, le prévenu refuse d’admettre ses torts et tient des propos qualifiés d'inquiétants. Le risque de récidive est attesté aussi par l’expertise psychiatrique. La détention n’a pas eu d’effet dissuasif, que ce soit celle subie à la suite de la première affaire, ou la détention avant jugement subie jusqu’aux débats, puisque l’intéressé refuse de dire qu’il changera de comportement après sa libération; bien plutôt, il continue de tenir des propos inquiétants. Les souffrances ressenties par l'intéressé n'ont pas été ignorées par la cour, qui les tient expressément pour avérées. Dans ces conditions, c’est à juste titre que les premiers juges ont considéré que le pronostic était défavorable, ce même après l'exécution de la peine privative de liberté nouvellement prononcée. On ne trouve aucun élément favorable. La cour de céans fait donc siennes les conclusions pessimistes du tribunal correctionnel. La révocation du sursis procède ainsi également, à tous égards, d'une correcte application du droit fédéral.</w:t>
      </w:r>
    </w:p>
    <w:p>
      <w:r>
        <w:rPr>
          <w:b/>
        </w:rPr>
        <w:t>E. 7</w:t>
      </w:r>
    </w:p>
    <w:p>
      <w:r>
        <w:t>L'appel doit donc être rejeté. La détention subie depuis le jugement de première instance est déduite. Le maintien en détention de l'appelant à titre de sûreté est ordonné. L'appelant succombe entièrement sur ses conclusions. Les frais de la procédure d'appel selon l'art. 424 CPP doivent être mis à sa charge (art. 428 al. 1, 1 ère phrase, CPP). Ces frais comprennent l'indemnité de son défenseur d’office pour la procédure d’appel, d'une part, et l'indemnité de conseil d’office pour la procédure d’appel en faveur de l'intimée, d'autre part. Elles doivent être arrêtées respectivement à 3'067 fr. 20 et à 2'574 fr. 70, débours et TVA compris, au vu de l'ampleur des opérations effectuées par l'un et par l'autre des mandataires. L'appelant ne sera tenu de rembourser à l’Etat le montant des indemnités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