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 vom 16. Mai 2010</w:t>
      </w:r>
    </w:p>
    <w:p>
      <w:r>
        <w:t>VD Tribunal cantonal, 2010-05-16, FR</w:t>
      </w:r>
    </w:p>
    <w:p>
      <w:r>
        <w:rPr>
          <w:b/>
        </w:rPr>
        <w:t xml:space="preserve">Quelle: </w:t>
      </w:r>
      <w:r>
        <w:t>https://mcp.opencaselaw.ch/entscheid/vd_findinfo_D_cision___2011___60</w:t>
      </w:r>
    </w:p>
    <w:p>
      <w:r>
        <w:t>FR: VD_FINDINFO Décision / 2011 / 60 du 16 mai 2010</w:t>
      </w:r>
    </w:p>
    <w:p>
      <w:r>
        <w:t>IT: VD_FINDINFO Décision / 2011 / 60 del 16 maggio 2010</w:t>
      </w:r>
    </w:p>
    <w:p>
      <w:pPr>
        <w:pStyle w:val="Heading2"/>
      </w:pPr>
      <w:r>
        <w:t>Regeste</w:t>
      </w:r>
    </w:p>
    <w:p>
      <w:r>
        <w:t>DÉTENTION PRÉVENTIVE, RISQUE DE RÉCIDIVE | 221 CPP (CH), 222 CPP (CH), 393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peu claire de cette disposition, il y a lieu d'admettre que le détenu peut notamment attaquer devant l'autorité de recours une décision du Tribunal des mesures de contrainte refusant la libération de la détention provisoire, au sens de l'art. 228 al. 4 CPP (Forster, in: Niggli / Heer / Wiprächtiger, Basler Kommentar, Schweizerische Strafprozessordnung, 2011, n. 3 ad art. 222 CPP; cf. Schmocker, in: Kuhn / Jeanneret, Commentaire romand, Code de procedure pénale suisse, 2011, n. 6 ad art. 222 CPP; Hug, in: Donatsch / Hansjakob/ Lieber, Kommentar zur Schweizerischen Strafprozessordnung, 2010, n. 2 ad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art. 80 LOJV, RS 173.01). En l'espèce, il y a donc lieu d'entrer en matière sur le recours, qui a été interjeté en temps utile devant l'autorité compétente.</w:t>
      </w:r>
    </w:p>
    <w:p>
      <w:r>
        <w:rPr>
          <w:b/>
        </w:rPr>
        <w:t>E. 2</w:t>
      </w:r>
    </w:p>
    <w:p>
      <w:r>
        <w:t>a) L'art. 212 CPP pose le principe que le prévenu reste en liberté; il ne peut être soumis à des mesures de contrainte entraînant une privation de liberté que dans les limites des dispositions du code (al. 1);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Concernant le risque de réitération (art. 221 al. 1 let. c CPP), le maintien en détention provisoire respectivement pour des motifs de sûreté se justifie s'il y a lieu de présumer, avec une certaine vraisemblance, qu'il existe un tel risque de récidive, dans l'appréciation duquel il convient, selon la jurisprudence du Tribunal fédéral, de faire preuve de retenue: le maintien en détention ne peut ainsi se justifier pour ce motif que si le pronostic est très défavorable et que les délits dont l'autorité redoute la réitération sont graves (TF 1B_220/2008 du 26 août 2008, c. 4.1 et les arrêts cités). Il sied de préciser que par infractions du même genre déjà commises (art. 221 al. 1 let. c CPP), il faut entendre non seulement des infractions déjà jugées, mais également des infractions pour lesquelles une procédure pénale est en cours (TF 1B_216/2007 du 11 octobre 2007, c. 3.2; TF 1P.462/2003 du 10 septembre 2003, c. 3.3.1; Schmocker, op. cit., n. 18 ad art. 221 CPP). c) En l'espèce, le recourant est poursuivi pour escroquerie et faux dans les titres. Il se serait ainsi fait confier de l'argent pour un montant s'élevant à environ 114'500 euros et 81'188 fr. qu'il aurait utilisé pour ses besoins personnels. Compte tenu de l'ensemble des éléments figurant au dossier, il existe contre le recourant des présomptions de culpabilité suffisantes (art. 221 al. 1 CPP). Par ailleurs, le recourant a été condamné, en 2009, par la justice genevoise à six ans de prison pour escroquerie et faux dans les titres. Cette affaire concernait des actes de même nature que ceux qui font l'objet de la présente procédure. Force est de constater que la précédente condamnation n'a eu aucun effet dissuasif sur le recourant qui, à peine condamné, aurait commis de nouvelles infractions. De plus, concernant sa situation personnelle, la déclaration d'intention concernant un engagement professionnel pour des travaux de secrétariat qui lui offrirait, de son propre aveu, un maigre revenu (de l'ordre de 2'500 à 3'000 fr. par mois; P. 204/3) et la reprise de la vie commune avec son ex-épouse qui elle-même a un revenu d'environ 3'800 fr. par mois (P. 215/ 3 et 215/4) ne peuvent pas être considérées comme des garanties suffisamment concrètes à même de réduire la crainte de nouveaux passages à l'acte. Par conséquent, le risque de réitération est manifeste. Compte tenu de la peine encourue, les infractions commises sont graves et la détention provisoire déjà effectuée est proportionnée. Par conséquent, les conditions du maintien en détention provisoire sont remplies.</w:t>
      </w:r>
    </w:p>
    <w:p>
      <w:r>
        <w:rPr>
          <w:b/>
        </w:rPr>
        <w:t>E. 3</w:t>
      </w:r>
    </w:p>
    <w:p>
      <w:r>
        <w:t>Il résulte de ce qui précède que le recours, manifestement mal fondé, doit être rejeté sans autres échanges d'écritures (art. 390 al. 2 CPP). Les frais de la procédure de recours, constitués en l'espèce des émoluments d'arrêts (art. 422 al. 1 CPP), par 660 fr. (art. 20 al. 1 TFJP, RSV 312.03.01), et des frais imputables à la défense d’office (art. 422 al. 1 et 2 let. a CPP), fixés à 360 fr., plus la TVA par 28 fr. 80, soit 388 fr. 80, sont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V.________. IV. Dit que les frais d'arrêt, par 660 fr. (six cent soixante francs), ainsi que l'indemnité du défenseur d'office, par 388 fr. 80 (trois cent huitante-huit francs et huitante centimes), sont mis à la charge de V.________. V. Dit que le remboursement à l'Etat de l'indemnité allouée au chiffre III ci-dessus sera exigible pour autant que la situation économique de V.________ se soit améliorée. VI. Déclare la présente décision exécutoire. Le président :               La greffière : Du L'arrêt qui précède, dont la rédaction a été approuvé à huis clos, est notifiée, par l'envoi d'une copie complète, à : - M. Roberto Izzo, avocat (pour V.________), - M. V.________, - Ministère public central; et communiqué à : ‑ Tribunal des mesures de contrainte, - Ministère public de l'arrondissement de Lausanne, à l'attention de M. le Procureur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