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595 vom 2. September 2011</w:t>
      </w:r>
    </w:p>
    <w:p>
      <w:r>
        <w:t>VD Tribunal cantonal, 2011-09-02, FR</w:t>
      </w:r>
    </w:p>
    <w:p>
      <w:r>
        <w:rPr>
          <w:b/>
        </w:rPr>
        <w:t xml:space="preserve">Quelle: </w:t>
      </w:r>
      <w:r>
        <w:t>https://mcp.opencaselaw.ch/entscheid/vd_findinfo_D_cision___2011___595</w:t>
      </w:r>
    </w:p>
    <w:p>
      <w:r>
        <w:t>FR: VD_FINDINFO Décision / 2011 / 595 du 2 septembre 2011</w:t>
      </w:r>
    </w:p>
    <w:p>
      <w:r>
        <w:t>IT: VD_FINDINFO Décision / 2011 / 595 del 2 settembre 2011</w:t>
      </w:r>
    </w:p>
    <w:p>
      <w:pPr>
        <w:pStyle w:val="Heading2"/>
      </w:pPr>
      <w:r>
        <w:t>Regeste</w:t>
      </w:r>
    </w:p>
    <w:p>
      <w:r>
        <w:t>NOTIFICATION DE LA DÉCISION, NOTIFICATION IRRÉGULIÈRE, DÉLAI DE GARDE | 354 CPP (CH), 356 al. 2 CPP (CH), 385 CPP (CH), 85 al. 4 CPP (CH)</w:t>
      </w:r>
    </w:p>
    <w:p>
      <w:pPr>
        <w:pStyle w:val="Heading2"/>
      </w:pPr>
      <w:r>
        <w:t>Volltext</w:t>
      </w:r>
    </w:p>
    <w:p>
      <w:r>
        <w:t>Vaud Tribunal cantonal Chambre des recours civile 02.09.2011 Décision / 2011 / 595</w:t>
      </w:r>
    </w:p>
    <w:p>
      <w:r>
        <w:t>NOTIFICATION DE LA DÉCISION, NOTIFICATION IRRÉGULIÈRE, DÉLAI DE GARDE | 354 CPP (CH), 356 al. 2 CPP (CH), 385 CPP (CH), 85 al. 4 CPP (CH)</w:t>
      </w:r>
    </w:p>
    <w:p>
      <w:r>
        <w:t>TRIBUNAL CANTONAL 534 PE11.004033-TDE CHAMBRE DES RECOURS PENALE __________________________________________ Séance du 2 septembre 2011 __________________ Présidence de               M. KRIEGER , président Juges :              M. Abrecht et Mme Byrde Greffier :              M. Addor ***** Art. 85, 354, 356 al. 2, 393 al. 1 let. b CPP Vu l' enquête n° PE11.004033-SJI instruite d'office par le Procureur de l'arrondissement de Lausanne contre B.________ pour violation grave des règles de la circulation et violation des devoirs en cas d'accident, et contre G.________ pour contravention à la LStup (Loi fédérale sur les stupéfiants; RS 812.121), violation grave des règles de la circulation, conduite en état d'incapacité et violation des devoirs en cas d'accident, vu l'ordonnance pénale du 3 mai 2011, par laquelle le procureur a notamment condamné B.________ pour violation grave des règles de la circulation et violation des devoirs en cas d'accident à 60 jours-amende, la valeur du jour-amende étant fixée à 40 fr., avec sursis pendant deux ans, ainsi qu'à 600 fr. d'amende, convertible en 15 jours de peine privative de liberté de substitution en cas de non-paiement de l'amende dans le délai imparti, et mis la moitié des frais de la procédure, arrêtés à 2'700 fr., à la charge du condamné, soit 1'350 francs, vu la déclaration d'opposition à cette ordonnance formée le 18 juillet 2011 par B.________, vu le prononcé du 27 juillet 2011, par lequel le Président du Tribunal d'arrondissement de Lausanne a déclaré irrecevable l'opposition du condamné et dit que l'ordonnance pénale du 3 mai 2011 était exécutoire, vu le recours interjeté par B.________ contre cette décision, vu les pièces du dossier; attendu que le recourant conclut à l'annulation du prononcé du 27 juillet 2011, son opposition du 18 juillet 2011 étant déclarée recevable; attendu qu’interjeté dans le délai légal (art. 396 al. 1 CPP [Code de procédure pénale suisse du 5 octobre 2007, RS 312.0]) contre une décision du tribunal de première instance déclarant irrecevable l'opposition du prévenu à une ordonnance pénale du Ministère public (cf. art. 356 al. 2 et 393 al. 1 let. b CPP), par le condamné qui a qualité pour recourir (art. 382 al. 1 CPP) et dans les formes prescrites (art. 385 al. 1 CPP), le recours est recevable (CREP, 29 août 2011/375, et les références citées); attendu que le recourant invoque une violation de l'art. 85 CPP, qu'il affirme n'avoir eu connaissance de l'ordonnance pénale que lorsqu'il a reçu une facture de 1'350 fr., correspondant à la moitié des frais de justice mis à sa charge, qu'il fait valoir qu'il n'a pas reçu dans sa boîte aux lettres d'avis l'invitant à retirer la lettre signature et qu'il ne pouvait ni ne devait s'attendre à une telle remise, que la notification de l'ordonnance pénale ne serait donc pas régulière, que la fiction de réception de l'envoi à l'issue du délai de garde (cf. art. 85 al. 4 let. a CPP) ne lui serait pas opposable;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114 III 51 c. 3c et 4; 105 III 43; 103 V 63 c. 2a; 101 Ia 7 c. 1; 99 Ib 356 c. 2 et 3), que l'autorité supporte donc les conséquences de l'absence de preuve en ce sens que si la notification ou sa date sont contestées et qu'il existe effectivement un doute à ce sujet, il y a lieu de se fonder sur les déclarations du destinataire de l'envoi (ATF 129 I 8 c. 2.2; 124 V 400 c. 2a; 103 V 63 c. 2a), que,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 TF 8C_621/2007 du 5 mai 2008, c. 4.2; TF 6A.100/2006 du 28 mars 2007, c. 2.2.1), que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(TF 2C_86/2010 du 4 octobre 2010, c. 2.3 ; TF 9C_753/2007 du 29 août 2008, c. 3, in RSPC 2009 p. 24), que le délai de garde de sept jours commence alors à courir et, à son terme, la notification est réputée avoir lieu (fiction), avec les conséquences procédurales que cela implique, que, du fait notamment que l'absence de remise constitue un fait négatif, le destinataire ne doit cependant pas en apporter la preuve stricte, qu'il suffit d'établir qu'il existe une vraisemblance prépondérante que des erreurs se soient produites lors de la notification (TF 2C_86/2010 du 4 octobre 2010, c. 2.3 ; TF 2C_38/2009 du 5 juin 2009, c. 4.1), que le destinataire doit à tout le moins établir pourquoi, dans son cas particulier, le risque que de telles erreurs se produisent était plus élevé que la normale (TF 2C_86/2010 du 4 octobre 2010, c. 2.4 ; cf. TF 2C_12/2009 du 27 août 2009, c. 4 ; TF 5A_728/2010 du 17 janvier 2011, c. 2.2.2), que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attendu, en l'espèce, que le recourant conteste avoir reçu l'avis l'invitant à retirer un envoi recommandé au bureau de poste, qu'il produit des photographies de boîtes aux lettres de son immeuble attestant qu'une famille " [...]" y est également domiciliée, que l'une des photographies suggère que juste en dessous de la boîte aux lettre du recourant, se trouve une boîte vide faisant office de "poubelle", qu'en outre, il a requis, en particulier dans son opposition, que des recherches soient entreprises auprès de la poste de [...], que le procureur a refusé toute mesure d'instruction à cet égard, que, comme la preuve de ce fait négatif incombe au recourant, lui refuser d'emblée toute mesure d'instruction et, en particulier, celle consistant à interpeller l'office postal en cause, reviendrait à le priver de la possibilité d'établir ce qu'il allègue, ce qui violerait son droit d'être entendu, que cela est d'autant plus vrai que la présente cause n'est pas sans présenter des similitudes avec des cas où des recherches avaient été effectuées, auprès de la Poste notamment (TF 9C_753/2007 du 29 août 2008, c. 5.1, relatif à la possibilité de l'erreur de l'employée postale; TF 5A_729/2007 du 29 janvier 2008, c. 4.2), que l'état de fait retenu dans ces arrêts montre qu'une instruction a porté sur la question de la configuration des lieux (nombre de boîtes aux lettres, possibilité d'erreur de ce fait), ainsi que sur l'existence de personnes susceptibles de faire suivre le courrier, qu'en l'occurrence, le risque de confusion avec un prétendu homonyme résulte des affirmations du recourant, qu'ainsi, il résulte du rapport de police figurant au dossier que le recourant est le fils de [...] (P. 4), que les clichés produits par le recourant suggèrent que son appartement et celui de ses parents seraient au même étage, que selon toute vraisemblance, le recourant, qui a 28 ans, habite sur le même palier que ses parents, qu'il n'est donc pas exclu, en l'état, que l'avis de retrait n'ait pas été correctement acheminé et que le recourant ne l'ait pas reçu, que des investigations doivent être effectuées sur ce point, qu'il appartiendra au Président du Tribunal d'arrondissement de Lausanne d'interpeller l'office postal de Clarens sur les circonstances dans lesquelles l'avis de retrait aurait été remis le 4 mai 2011 à 9 h 35 dans la boîte aux lettre de B.________ (recommandé n° [...]), sur l'éventualité d'une erreur de l'employé postal ou d'une confusion de sa part, et sur la configuration des lieux; attendu, pour le surplus, que le recourant fait valoir, à titre subsidiaire, qu'il n'avait pas à s'attendre à la remise d'un envoi recommandé, que cet argument est mal fondé, qu'il a en effet été entendu comme prévenu le 28 janvier 2011, et a signé la formule ad hoc (PV aud. 2), qu'il devait donc s'attendre à recevoir des décisions concernant son affaire, que le fait qu'une période de six mois se soit écoulée pendant laquelle aucune communication de l'autorité ne lui est parvenue n'y change rien, un délai jusqu'à un an ayant été jugé conforme au principe de la bonne foi (TF 6B_511/2010 du 13 août 2010, c. 3 in fine), qu'enfin, c'est à tort que le recourant se plaint que l'autorité ne lui a pas renvoyé sa décision sous pli simple, au moins en courrier A, qu'une telle démarche n'est en effet pas exigée (cf. TF 6B_511/2010 du 13 août 2010, c. 3); attendu, en définitive, que le recours doit être admis et le prononcé du 27 juillet 2011 annulé, que le dossier de la cause est renvoyé au Président du Tribunal d'arrondissement de Lausanne pour qu'il procède dans le sens des considérants, puis rende une nouvelle décision, que les frais de la procédure de recours, constitués en l’espèce du seul émolument d'arrêt (art. 422 al. 1 CPP), par 660 fr. (art. 20 al. 1 TFJP [Tarif des frais judiciaires pénaux du 28 septembre 2010, RSV 312.03.1]), seront laissés à la charge de l’Etat (art. 428 al. 1 CPP). Par ces motifs, la Chambre des recours pénale, statuant à huis clos : I. Admet le recours. II. Annule le prononcé du 27 juillet 2011. III. Renvoie le dossier de la cause au Président du Tribunal d'arrondissement de Lausanne pour qu'il procède dans le sens de considérants, puis rende une nouvelle décision.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 Tony Donnet-Monay, avocat (pour B.________), - Ministère public central, et communiqué à : ‑ M. le Président du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