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525 vom 26. September 2011</w:t>
      </w:r>
    </w:p>
    <w:p>
      <w:r>
        <w:t>VD Tribunal cantonal, 2011-09-26, FR</w:t>
      </w:r>
    </w:p>
    <w:p>
      <w:r>
        <w:rPr>
          <w:b/>
        </w:rPr>
        <w:t xml:space="preserve">Quelle: </w:t>
      </w:r>
      <w:r>
        <w:t>https://mcp.opencaselaw.ch/entscheid/vd_findinfo_D_cision___2011___525</w:t>
      </w:r>
    </w:p>
    <w:p>
      <w:r>
        <w:t>FR: VD_FINDINFO Décision / 2011 / 525 du 26 septembre 2011</w:t>
      </w:r>
    </w:p>
    <w:p>
      <w:r>
        <w:t>IT: VD_FINDINFO Décision / 2011 / 525 del 26 settembre 2011</w:t>
      </w:r>
    </w:p>
    <w:p>
      <w:pPr>
        <w:pStyle w:val="Heading2"/>
      </w:pPr>
      <w:r>
        <w:t>Regeste</w:t>
      </w:r>
    </w:p>
    <w:p>
      <w:r>
        <w:t>RISQUE DE FUITE, RISQUE DE COLLUSION, RISQUE DE RÉCIDIVE | 220 CPP (CH), 221 al. 1 let. a CPP (CH), 221 al. 1 let. c CPP (CH), 226 CPP (CH)</w:t>
      </w:r>
    </w:p>
    <w:p>
      <w:pPr>
        <w:pStyle w:val="Heading2"/>
      </w:pPr>
      <w:r>
        <w:t>Erwägungen</w:t>
      </w:r>
    </w:p>
    <w:p>
      <w:r>
        <w:rPr>
          <w:b/>
        </w:rPr>
        <w:t>E. 1</w:t>
      </w:r>
    </w:p>
    <w:p>
      <w:r>
        <w:t>ad art. 42 CPP). En l’espèce, le Ministère public du canton de Fribourg avait adressé le 7 septembre 2011 une requête de mise en détention provisoire au Tribunal des mesures de contrainte du canton de Fribourg, lequel était ainsi compétent pour prendre une mesure qui ne pouvait pas être différée (cf. art. 226 al. 1 CPP). Cela étant, depuis l’acceptation de for par le Ministère public central du canton de Vaud le 8 septembre 2011 (cf. art. 39 al. 2 CPP), les autorités pénales du canton de Vaud sont seules compétentes, de sorte que la Chambre des recours du Tribunal cantonal du canton de Vaud est compétente pour statuer sur le recours.</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Une mesure de détention provisoire ou pour des motifs de sûreté n'est compatible avec la liberté personnelle (art. 10 al. 2 Cst. et 5 CEDH) que si elle repose sur une base légale (art. 31 al. 1 et 36 al. 1 Cst.), soit en l'espèce l'art. 221 CPP ; elle doit en outre correspondre à un intérêt public et respecter le principe de la proportionnalité (art. 36 al. 2 et 3 Cst.; ATF 123 I 268 c. 2c ; TF 1B_374/2011 du 3 août 2011, c. 2 ; TF 1B_182/2011 du 5 mai 2011, c. 3.1).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5 par. 1 let. c CEDH; art. 221 al. 1 CPP ; TF 1B_182/2011 déjà cité, c. 3.1). c) En l’espèce, le recourant ne conteste pas qu’il existe à son égard de sérieux soupçons de culpabilité s’agissant de la commission d’actes entrant dans la qualification d’infraction grave à la Loi fédérale du 3 octobre 1951 sur les stupéfiants (LStup; RS 812.121) et donc passibles d’une peine privative de liberté d’un an au moins, cette sanction pouvant être cumulée avec une peine pécuniaire (art. 19 al. 1 LStup). Il conteste toutefois l’existence des risques de fuite, de collusion et de réitération retenus par le Tribunal des mesures de contrainte et soutient que des mesures de substitution auraient dû être ordonnées en lieu et place de la détention provisoire.</w:t>
      </w:r>
    </w:p>
    <w:p>
      <w:r>
        <w:rPr>
          <w:b/>
        </w:rPr>
        <w:t>E. 3</w:t>
      </w:r>
    </w:p>
    <w:p>
      <w:r>
        <w:t>a) Comme on l’a vu (cf. c. 2a supra),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(Alexis Schmocker, in Kuhn/Jeanneret (éd.), Commentaire romand, Code de procédure pénale suisse, 2011, n. 12 ad art. 221 CPP et les références citées ; cf. Marc Forster, in Niggli/Heer/Wiprächtiger (éd.), Basler Kommentar, Schweizerische Strafprozessordnung, 2011, n. 5 ad art. 221 CPP) –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 ATF 117 Ia 69 c. 4a et les arrêts cités ; TF 1B_374/2011 déjà cité, c. 3.1 ; TF 1B_422/2010 du 11 janvier 2011, c. 2.1). En l’espèce, la gravité des faits qui sont reprochés au recourant permet d’emblée de présumer un risque de fuite en raison de l’importance de la peine dont le prévenu est menacé. Cette présomption est renforcée par le fait que le recourant, s’il est certes ressortissant suisse, est sans domicile fixe et sans emploi, de sorte que, en l’absence de telles attaches, il y a fort à craindre qu’il se cache pour se soustraire à la procédure pénale. Dans ces circonstances, le risque de fuite apparaît suffisamment concret et la détention provisoire se justifie en vertu de l’art. 221 al. 1 let. a CPP afin que le prévenu reste à disposition de la justice pénale durant l’instruction. b) Comme on l’a vu (cf. c. 2a supra), il ressort de l’art. 221 al. 1 let. b CPP que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op. cit., n. 14 et 15 ad art. 221 CPP), vise à garantir la constatation exacte et complète des faits. D’après la jurisprudence, le risque de collusion doit être étayé par des faits concrets et précis ; la simple possibilité théorique que le prévenu se livre à des manoeuvres destinées à compromettre la recherche de la vérité ne suffit pas (ATF 132 I 21 c. 3.2 et les arrêts cités). Il faut toutefois poser des exigences moins élevées pour admettre l’existence d’un risque concret de collusion en tout début d’instruction, où ce risque est le plus grand, que lorsque l’instruction est terminée mais où il peut encore être admis que le prévenu risque d’influencer les témoins ou coaccusés avant les débats pour les faire revenir sur leurs déclarations (Schmocker, op. cit. n. 16 ad art. 221 CPP). En l’occurrence, il y a lieu d’admettre à ce stade l’existence d’un risque concret de collusion, dans la mesure où l’enquête n’en est qu’à ses débuts et que l’ampleur de l’activité criminelle du prévenu, la nature exacte des pilules séquestrées, la qualité de la drogue saisie, l’importance du trafic exercé, l’identité de ses fournisseurs et éventuels complices et enfin le cercle des clients nécessitent de nombreuses mesures d’instruction. Si les moyens de preuve matériels qui ont déjà été séquestrés ne peuvent certes plus être altérés par le prévenu ou ses éventuels complices, des mesures de perquisition ainsi que les mesures visant à l’identification des fournisseurs, des clients et des éventuels complices du prévenu, qui entrent en ligne de compte à ce stade de l’enquête, risqueraient d’être sérieusement compromises par les contacts que pourrait prendre le recourant pour entraver la recherche de la vérité s’il était remis en liberté. Les conditions posées par l’art. 221 al. 1 let. b CPP apparaissent dès lors également réalisées en l’espèce. c)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après avoir déjà commis des infractions du même genre. Par infractions du même genre déjà commises, il faut entendre non seulement des infractions déjà jugées, mais également des infractions pour lesquelles une procédure pénale est en cours (ATF 137 IV 84 c. 3.2 et les références citées ; TF 1B_216/2007 du 11 octobre 2007, c. 3.2 ; TF 1P.462/2003 du 10 septembre 2003, c. 3.3.1 ; Alexis Schmocker, in Kuhn/Jeanneret (éd.), op. cit., n. 18 ad art. 221 CPP). En l’espèce, le recourant a admis se livrer au commerce de stupéfiants, à une échelle – comme le démontre la quantité de drogue saisie lors de son interpellation – qui est de nature à mettre en danger la santé de nombreuses personnes et ainsi à compromettre sérieusement la sécurité d’autrui par la réitération de délits graves au sens de l’art. 221 al. 1 let. c CPP. Comme le recourant est lui-même toxicomane et qu’il n’a pas d’emploi fixe, il y a sérieusement et très concrètement lieu de craindre qu’il s’adonne de nouveau au trafic de stupéfiants s’il était remis en liberté. d) Enfin, il sied de constater que les mesures de substitution évoquées par le recourant – reprise d’une cure de désintoxication qu’il avait entamée à la Fondation Bartimée à Yverdon-les-Bains, interdiction de se rendre dans les lieux où la commission des infractions a eu lieu, interdiction d’entretenir des relations avec les personnes susceptibles d’être impliquées, saisie des documents d’identité ou obligation de se présenter régulièrement à un service administratif – ne sont pas, même combinées entre elles, de nature à prévenir efficacement la réalisation des risques de fuite, de collusion et de réitération retenus en l’espèce.</w:t>
      </w:r>
    </w:p>
    <w:p>
      <w:r>
        <w:rPr>
          <w:b/>
        </w:rPr>
        <w:t>E. 4</w:t>
      </w:r>
    </w:p>
    <w:p>
      <w:r>
        <w:t>Il résulte de ce qui précède que le recours, manifestement mal fondé, doit être rejeté sans autres échanges d’écritures (art. 390 al. 2 CPP). Les frais de la procédure de recours devant l'autorité de céans, constitués en l’espèce de l’émolument d'arrêt, par 990 fr. (art. 20 al. 1 TFJP [tarif des frais judiciaires pénaux; RSV 312.03.1]) et des frais imputables à la défense d’office devant la Cour de céans (art. 422 al. 1 et 2 let. a CPP), fixés à 540 fr., plus la TVA, par 43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à Me Alain Ribordy pour la défense d’office du recourant dans la présente procédure de recours est fixée à 583 fr. 20 (cinq cent huitante trois francs et vingt centimes), TVA comprise. IV. Les frais d’arrêt, par 1'573 fr. 20 (mille cinq cent septante trois francs et vingt centimes), y compris l’indemnité due au défenseur d’office du recourant, par 583 fr. 20 (cinq cent huitante trois francs et vingt centimes), sont mis à la charge de ce dernier. V. Le remboursement à l’Etat de l’indemnité allouée au chiffre III ci-dessus sera exigible pour autant que la situation économique du recourant se soit améliorée. VI. L’arrêt est exécutoire. Le président :               La greffière : Du L'arrêt qui précède, dont la rédaction a été approuvée à huis clos, est notifié, par l'envoi d'une copie complète, à : - Me Alain Ribordy, avocat (pour I.________), - Me David Moinat, avocat (pour I.________), - Ministère public central, et communiquée à : ‑ Tribunal des mesures de contrainte du canton de Fribourg,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