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486 vom 6. September 2011</w:t>
      </w:r>
    </w:p>
    <w:p>
      <w:r>
        <w:t>VD Tribunal cantonal, 2011-09-06, FR</w:t>
      </w:r>
    </w:p>
    <w:p>
      <w:r>
        <w:rPr>
          <w:b/>
        </w:rPr>
        <w:t xml:space="preserve">Quelle: </w:t>
      </w:r>
      <w:r>
        <w:t>https://mcp.opencaselaw.ch/entscheid/vd_findinfo_D_cision___2011___486</w:t>
      </w:r>
    </w:p>
    <w:p>
      <w:r>
        <w:t>FR: VD_FINDINFO Décision / 2011 / 486 du 6 septembre 2011</w:t>
      </w:r>
    </w:p>
    <w:p>
      <w:r>
        <w:t>IT: VD_FINDINFO Décision / 2011 / 486 del 6 settembre 2011</w:t>
      </w:r>
    </w:p>
    <w:p>
      <w:pPr>
        <w:pStyle w:val="Heading2"/>
      </w:pPr>
      <w:r>
        <w:t>Regeste</w:t>
      </w:r>
    </w:p>
    <w:p>
      <w:r>
        <w:t>ORDONNANCE DE SÉQUESTRE, SÉQUESTRE{MESURE PROVISIONNELLE} | 263 CPP (CH), 393 al. 1 let. a CPP (CH)</w:t>
      </w:r>
    </w:p>
    <w:p>
      <w:pPr>
        <w:pStyle w:val="Heading2"/>
      </w:pPr>
      <w:r>
        <w:t>Erwägungen</w:t>
      </w:r>
    </w:p>
    <w:p>
      <w:r>
        <w:rPr>
          <w:b/>
        </w:rPr>
        <w:t>E. 26</w:t>
      </w:r>
    </w:p>
    <w:p>
      <w:r>
        <w:t>août 2011 mais posté le 29 août 2011, L.________ recourt contre cette ordonnance de séquestre auprès de la Chambre des recours pénale du Tribunal cantonal, en concluant à son annulation et à ce que les objets séquestrés lui soient restitués. Il sollicite en outre l’octroi de l’«assistance juridique» pour la procédure de recours. En droit : 1. a) Aux termes de l’art. 393 al. 1 let. a CPP (Code de procédure pénale suisse ; RS 312.0), le recours est recevable contre les décisions et actes de procédure du ministère public. Une ordonnance de séquestre rendue par le ministère public (art. 263 CPP) est ainsi susceptible de recours selon les art. 393 ss CPP (Felix Bommer/Peter 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2. a)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Conformément à l’art. 197 al. 1 let. b CPP – disposition applicable à l'ensemble des mesures de contrainte –, l’atteinte causée par une mesure de séquestre présuppose I’existence de présomptions concrètes à l’encontre de la ou des personnes visées par la procédure pénale ; au début de l’enquête, il est admis qu’un soupçon crédible ou un début de preuve de l’existence de l’infraction reprochée suffise à permettre le séquestre, ce qui laisse une grande place à l’appréciation du juge ; on exige toutefois que ce soupçon se renforce au cours de I’instruction pour justifier le maintien de la mesure de séquestre (Saverio Lembo/Valérie Julen Berthod, in Kuhn/Jeanneret, Commentaire romand, Code de procédure pénale suisse, Bâle 2011, n. 22 ad art. 263 CPP et les références citées). b) Le séquestre en vu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CPP (Lembo/Julen Berthod, op. cit., n. 12 ad art. 263 CPP ; Bommer/Goldschmid, op. cit., n. 48 ad art. 263 CPP). Selon la jurisprudence et la doctrine, le séquestre en vue de restitution au lésé se distingue du séquestre conservatoire (cf. art. 263 al. 1 let. b CPP) dans la mesure où il ne peut viser que les objets ou valeurs que la personne lésée s’est vue directement soustraire du fait de l’infraction (Lembo/Julen Berthod, op. cit., n. 13 ad art. 263 CPP et les références citées). A cet égard, le Tribunal fédéral considère qu’en début de procédure, la simple probabilité de ce lien suffit, dans la mesure où la saisie avant jugement ne constitue qu’une mesure provisoire qui se rapporte à des prétentions encore incertaines ;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 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(Lembo/Julen Berthod, op. cit., n. 26 ad art. 263 CPP et les références citées). c) En l’espèce, le séquestre litigieux a été ordonné en tout début de procédure. A ce stade, à la lecture du dossier, il existe des soupçons suffisants laissant présumer que le matériel et les documents séquestrés ont été illicitement soustraits par le recourant ou par son amie W.________ à Z.________ respectivement à [...] SA et qu’ils devront être restitués à la lésée. Les arguments du recourant – relatifs notamment à la question de la propriété des objets séquestrés, à la réalisation des éléments constitutifs de l’infraction et à la violation de la présomption d’innocence – ne sont pas propres, à ce stade de l’instruction où il suffit de soupçons crédibles, à remettre en cause le séquestre ordonné. 3. Le recourant sollicite l’octroi de l’«assistance juridique» pour la procédure de recours. En procédure pénale, le prévenu peut se voir désigner un défenseur d’office s’il ne dispose pas des moyens nécessaires et que l’assistance d’un défenseur est justifiée pour sauvegarder ses intérêts (art. 132 al. 1 let. b CPP). Cette seconde condition n’est manifestement pas remplie en l’espèce et le recourant ne sollicite d’ailleurs pas l’assistance d’un défenseur d’office. En revanche, le prévenu ne peut prétendre, contrairement à la partie plaignante aux conditions de l’art. 136 al. 1 CPP, à l’octroi d’une assistance judiciaire comprenant l’exonération des frais de procédure (cf. art. 136 al. 2 let. b CPP), dont le sort est réglé selon les art. 422 ss CPP. S’agissant des frais de la procédure de recours, le principe est qu’ils sont mis à la charge des parties dans la mesure où elles ont obtenu gain de cause ou succombé (art. 428 al. 1 CPP). 4. 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du recourant, qui succombe (art. 428 al. 1 CPP). Par ces motifs, la Chambre des recours pénale, statuant à huis clos prononce : I. Le recours est rejeté. II. L'ordonnance de séquestre du 15 août 2011 est confirmée. III. Les frais de la procédure de recours, par 550 fr. (cinq cent cinquante francs), sont mis à la charge de L.________. IV. Le présent arrêt est exécutoire. La vice-présidente : La greffière : Du L'arrêt qui précède, dont la rédaction a été approuvée à huis clos, est notifié, par l'envoi d'une copie complète, à : - L.________, - Z.________, - Ministère public central, et communiquée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