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482 vom 8. Juli 2011</w:t>
      </w:r>
    </w:p>
    <w:p>
      <w:r>
        <w:t>VD Tribunal cantonal, 2011-07-08, FR</w:t>
      </w:r>
    </w:p>
    <w:p>
      <w:r>
        <w:rPr>
          <w:b/>
        </w:rPr>
        <w:t xml:space="preserve">Quelle: </w:t>
      </w:r>
      <w:r>
        <w:t>https://mcp.opencaselaw.ch/entscheid/vd_findinfo_D_cision___2011___482</w:t>
      </w:r>
    </w:p>
    <w:p>
      <w:r>
        <w:t>FR: VD_FINDINFO Décision / 2011 / 482 du 8 juillet 2011</w:t>
      </w:r>
    </w:p>
    <w:p>
      <w:r>
        <w:t>IT: VD_FINDINFO Décision / 2011 / 482 del 8 luglio 2011</w:t>
      </w:r>
    </w:p>
    <w:p>
      <w:pPr>
        <w:pStyle w:val="Heading2"/>
      </w:pPr>
      <w:r>
        <w:t>Regeste</w:t>
      </w:r>
    </w:p>
    <w:p>
      <w:r>
        <w:t>ASSISTANCE JUDICIAIRE, PLAIGNANT | 136 CPP (CH)</w:t>
      </w:r>
    </w:p>
    <w:p>
      <w:pPr>
        <w:pStyle w:val="Heading2"/>
      </w:pPr>
      <w:r>
        <w:t>Erwägungen</w:t>
      </w:r>
    </w:p>
    <w:p>
      <w:r>
        <w:rPr>
          <w:b/>
        </w:rPr>
        <w:t>E. 36</w:t>
      </w:r>
    </w:p>
    <w:p>
      <w:r>
        <w:t>fr., soit un total de 486 fr., sont laissés à la charge de l’Etat (art. 428 al. 4 CPP). Par ces motifs, la Chambre des recours pénale, statuant à huis clos : I. Admet le recours. II. Réforme l’ordonnance en ce sens que la requête d’octroi d’assistance judiciaire et de désignation d’un conseil juridique gratuit en la personne de Me Raphaël Brochellaz est admise. III. Désigne Me Raphaël Brochellaz pour la présente procédure de recours et fixe son indemnité à 486 fr. (quatre cent huitante-six francs). IV. Dit que les frais du présent arrêt, par 550 fr. (cinq cent cinquante francs), ainsi que l'indemnité due au conseil juridique gratuit de L.________, par 486 fr. (quatre cent huitante-six francs), sont laissés à la charge de l'Etat. V. Déclare le présent arrêt exécutoire. La vice-présidente : La greffière : Du L’arrêt qui précède, dont la rédaction a été approuvée à huis clos, est notifié, par l'envoi d'une copie complète, à : - M. Raphaël Brochellaz, avocat (pour 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