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471 vom 14. Juli 2011</w:t>
      </w:r>
    </w:p>
    <w:p>
      <w:r>
        <w:t>VD Tribunal cantonal, 2011-07-14, FR</w:t>
      </w:r>
    </w:p>
    <w:p>
      <w:r>
        <w:rPr>
          <w:b/>
        </w:rPr>
        <w:t xml:space="preserve">Quelle: </w:t>
      </w:r>
      <w:r>
        <w:t>https://mcp.opencaselaw.ch/entscheid/vd_findinfo_D_cision___2011___471</w:t>
      </w:r>
    </w:p>
    <w:p>
      <w:r>
        <w:t>FR: VD_FINDINFO Décision / 2011 / 471 du 14 juillet 2011</w:t>
      </w:r>
    </w:p>
    <w:p>
      <w:r>
        <w:t>IT: VD_FINDINFO Décision / 2011 / 471 del 14 luglio 2011</w:t>
      </w:r>
    </w:p>
    <w:p>
      <w:pPr>
        <w:pStyle w:val="Heading2"/>
      </w:pPr>
      <w:r>
        <w:t>Regeste</w:t>
      </w:r>
    </w:p>
    <w:p>
      <w:r>
        <w:t>INDEMNITÉ{EN GÉNÉRAL}, , DROIT À UN DÉFENSEUR, INTERPRÈTE, ASSISTANCE JUDICIAIRE, NOTIFICATION DE LA DÉCISION, MOTIVATION DE LA DÉCISION, INDICATION DES VOIES DE DROIT | 135 al. 2 CPP (CH), 395 let. b CPP (CH)</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w:t>
      </w:r>
    </w:p>
    <w:p>
      <w:r>
        <w:rPr>
          <w:b/>
        </w:rPr>
        <w:t>E. 2</w:t>
      </w:r>
    </w:p>
    <w:p>
      <w:r>
        <w:t>a) Selon l’art. 382 al. 1 CPP, toute personne qui a un intérêt juridiquement protégé à l’annulation ou à la modification d’une décision a qualité pour recourir contre celle-ci. Comme on l’a vu (cf. c. 1a supra), le prévenu condamné aux frais, qui sera tenu de rembourser le montant versé par l’Etat à son défenseur d’office aussitôt que sa situation financière le permet, a qualité pour recourir contre la fixation de l’indemnité due à son défenseur d’office, dans la mesure où il soutient que cette indemnité a été fixée à un montant trop élevé. b) En l’espèce, force est de constater que A.U.________ ne peut se prévaloir d’aucun intérêt juridiquement protégé à obtenir la modification de la décision attaquée dans le sens de la fixation à un montant plus élevé de l’indemnité allouée à son défenseur d’office, l’avocate F.________. Seule cette dernière aurait eu qualité pour recourir à cet égard (cf. c. 1a supra), ce qu’elle n’a pas fait. c) Il s’ensuit que le recours de A.U.________ doit être déclaré irrecevable. Quoique la recourante succombe, les frais de la procédure de recours, constitués en l’espèce de l’émolument d'arrêt, par 450 fr. (art. 20 al. 1 TFJP [tarif des frais judiciaires pénaux; RSV 312.03.1]) et des frais imputables à la défense d’office (art. 422 al. 1 et 2 let. a CPP), fixés à 200 fr. plus la TVA par 16 fr., seront laissés à la charge de l'Etat compte tenu des circonstances particulières du cas d’espèce. Par ces motifs, le Juge de la Chambre des recours pénale, statuant à huis clos : I. Déclare le recours irrecevable. II. Dit que les frais d'arrêt, par 450 fr. (quatre cent cinquante francs), ainsi que l'indemnité due au défenseur d'office de A.U.________, par 216 fr. (deux cent seize francs), sont laissés à la charge de l'Etat. III. Déclare le présent arrêt exécutoire. Le juge :               Le greffier : Du L'arrêt qui précède, dont la rédaction a été approuvée à huis clos, est notifié, par l'envoi d'une copie complète, à : - Mme F.________, avocate (pour A.U.________), - Ministère public central, et communiqué à : ‑ Direction de la procédure :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