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461 vom 17. August 2011</w:t>
      </w:r>
    </w:p>
    <w:p>
      <w:r>
        <w:t>VD Tribunal cantonal, 2011-08-17, FR</w:t>
      </w:r>
    </w:p>
    <w:p>
      <w:r>
        <w:rPr>
          <w:b/>
        </w:rPr>
        <w:t xml:space="preserve">Quelle: </w:t>
      </w:r>
      <w:r>
        <w:t>https://mcp.opencaselaw.ch/entscheid/vd_findinfo_D_cision___2011___461</w:t>
      </w:r>
    </w:p>
    <w:p>
      <w:r>
        <w:t>FR: VD_FINDINFO Décision / 2011 / 461 du 17 août 2011</w:t>
      </w:r>
    </w:p>
    <w:p>
      <w:r>
        <w:t>IT: VD_FINDINFO Décision / 2011 / 461 del 17 agosto 2011</w:t>
      </w:r>
    </w:p>
    <w:p>
      <w:pPr>
        <w:pStyle w:val="Heading2"/>
      </w:pPr>
      <w:r>
        <w:t>Regeste</w:t>
      </w:r>
    </w:p>
    <w:p>
      <w:r>
        <w:t>COMPÉTENCE RATIONE LOCI, ADMISSION DE LA DEMANDE | 55 al. 1 LAI</w:t>
      </w:r>
    </w:p>
    <w:p>
      <w:pPr>
        <w:pStyle w:val="Heading2"/>
      </w:pPr>
      <w:r>
        <w:t>Erwägungen</w:t>
      </w:r>
    </w:p>
    <w:p>
      <w:r>
        <w:rPr>
          <w:b/>
        </w:rPr>
        <w:t>E. 28</w:t>
      </w:r>
    </w:p>
    <w:p>
      <w:r>
        <w:t>février 2011) de l'Office de l'assurance-invalidité pour le canton de Vaud, qu’invité à se déterminer sur le recours, l’intimé a exposé que la décision litigieuse avait été rendue, en réalité, par l’Office de l’assurance-invalidité du canton du Valais, de sorte que le Tribunal cantonal vaudois n’était pas compétent ratione loci pour statuer, que par lettre du 24 juin 2011, le juge en charge de l’instruction de la cause a rendu l’intimé attentif au fait que la décision litigieuse avait bien été établie par ou au nom de l’Office de l’assurance-invalidité pour le canton de Vaud, mais qu’elle renvoyait à une motivation non datée rédigée par l’Office de l’assurance-invalidité du canton du Valais, que le 21 juillet 2011, l’Office de l’assurance-invalidité pour le canton de Vaud s’est déterminé en précisant que la décision litigieuse avait bien été rendue en son nom et qu’il ne pouvait l’expliquer, dès lors que l’Office de l’assurance-invalidité du canton du Valais était compétent pour statuer, qu’il s’ensuivait, d’après l’intimé, que la décision n’avait pas été valablement rendue au sens des art. 55 LAI (loi fédérale du 19 juin 1959 sur l'assurance-invalidité; RS 831.20) et 40 RAI (règlement du 17 janvier 1961 sur l'assurance-invalidité; RS 831.201), que par acte du 3 août 2011, le recourant s’en est remis à l’appréciation du Tribunal s’agissant de la suite formelle à donner au litige, qu’aux termes de l’art. 55 al. 1, 1 ère phrase, LAI, l’office AI compétent est, en règle générale, celui du canton dans lequel l’assuré est domicilié au moment où il exerce son droit aux prestations, que l’office AI compétent pour enregistrer et examiner les demandes est celui dans le secteur d’activité duquel les assurés sont domiciliés (art. 40 al. 1 RAI), que cet office AI reste ensuite compétent durant toute la procédure (art. 40 al. 3 RAI), qu’en l’espèce, le recourant est domicilié à la Tour-de-Peilz, dans le canton de Vaud, mais qu’il était auparavant domicilié en Valais, que la décision litigieuse fait suite à une procédure de révision du droit à la rente ouverte au plus tard en 2005 par l’Office de l’assurance-invalidité du Valais, qui a manifestement mené toute la procédure jusqu’à la rédaction de la motivation de la décision litigieuse, que conformément aux art. 55 al. 1, 1 ère phrase, LAI et 40 al. 1 RAI, cet office est resté compétent pour clore la procédure de révision, que partant, l’Office de l’assurance-invalidité pour le canton de Vaud n’était pas compétent pour rendre la décision litigieuse, ce dont il convient d’ailleurs dans sa détermination du 21 juillet 2011, que partant, la décision du 28 février 2011 sera annulée et la cause transmise à l’Office de l’assurance-invalidité du canton du Valais comme objet de sa compétence, qu’il n’y a pas lieu de percevoir des frais de justice (art. 52 al. 1 LPA-VD [loi cantonale vaudoise du 28 octobre 2008 sur la procédure administrative; RSV 173.36]), mais que l’intimé versera au recourant une indemnité de dépens de 400 fr. (art. 55 LPA-VD et 61 let. g LPGA [loi fédérale du 6 octobre 2000 sur la partie générale du droit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