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456 vom 15. September 2010</w:t>
      </w:r>
    </w:p>
    <w:p>
      <w:r>
        <w:t>VD Tribunal cantonal, 2010-09-15, FR</w:t>
      </w:r>
    </w:p>
    <w:p>
      <w:r>
        <w:rPr>
          <w:b/>
        </w:rPr>
        <w:t xml:space="preserve">Quelle: </w:t>
      </w:r>
      <w:r>
        <w:t>https://mcp.opencaselaw.ch/entscheid/vd_findinfo_D_cision___2011___456</w:t>
      </w:r>
    </w:p>
    <w:p>
      <w:r>
        <w:t>FR: VD_FINDINFO Décision / 2011 / 456 du 15 septembre 2010</w:t>
      </w:r>
    </w:p>
    <w:p>
      <w:r>
        <w:t>IT: VD_FINDINFO Décision / 2011 / 456 del 15 settembre 2010</w:t>
      </w:r>
    </w:p>
    <w:p>
      <w:pPr>
        <w:pStyle w:val="Heading2"/>
      </w:pPr>
      <w:r>
        <w:t>Regeste</w:t>
      </w:r>
    </w:p>
    <w:p>
      <w:r>
        <w:t>RETRAIT{VOIE DE DROIT} | 386 al. 2 let. b CPP (CH), 393 al. 1 let. b CPP (CH), 393 CPP (CH)</w:t>
      </w:r>
    </w:p>
    <w:p>
      <w:pPr>
        <w:pStyle w:val="Heading2"/>
      </w:pPr>
      <w:r>
        <w:t>Volltext</w:t>
      </w:r>
    </w:p>
    <w:p>
      <w:r>
        <w:t>Vaud Tribunal cantonal Chambre des recours pénale 22.08.2011 Décision / 2011 / 456</w:t>
      </w:r>
    </w:p>
    <w:p>
      <w:r>
        <w:t>RETRAIT{VOIE DE DROIT} | 386 al. 2 let. b CPP (CH), 393 al. 1 let. b CPP (CH), 393 CPP (CH)</w:t>
      </w:r>
    </w:p>
    <w:p>
      <w:r>
        <w:t>TRIBUNAL CANTONAL 337 PE08.013576-PGT/HRP/FDX CHAMBRE DES RECOURS PENALE __________________________________________ Séance du 22 août 2011 ___________________ Présidence de               M. Krieger , président Juges :              M. Abrecht et Mme Byrde Greffière :              Mme Brabis Lehmann ***** Art. 386, 393 ss CPP Vu l' enquête n° PE08.013576-PGT instruite par le Juge d'instruction de l'arrondissement du Nord vaudois contre B.F.________ pour entrave à la circulation publique, vu l'ordonnance du 15 septembre 2010, par laquelle le juge d'instruction a renvoyé B.F.________ devant le Tribunal de police de l'arrondissement de La Broye et du Nord vaudois comme accusé d'entrave à la circulation publique, vu le prononcé du 30 mai 2011, par lequel le Tribunal de police de l'arrondissement de La Broye et du Nord vaudois a ordonné le classement de la procédure dirigée contre B.F.________ pour entrave à la circulation publique (I), arrêté à 787 fr. 50, débours et TVA compris, l'indemnité du défenseur d'office de ce dernier (II), mis les frais de justice par 6'755 fr. 25 à la charge de l'intéressé (III) et dit que le remboursement des indemnités allouées aux défenseurs totalisant 1'487 fr. 50 était subordonné à l'amélioration de la situation économique de B.F.________ (IV), vu le recours interjeté le 8 juin 2011 par A.F.________, épouse de B.F.________, contre cette décision, vu le courrier du Président de la Chambre des recours pénale du 6 juillet 2011, vu le courrier de A.F.________ du 28 juillet 2011, vu le courrier de la prénommée du 18 août 2011, vu les pièces du dossier; attendu que par courrier 6 juillet 2011, le Président de la Chambre des recours pénale a invité A.F.________ à produire notamment les documents établissant son pouvoir de représenter son mari dans la présente procédure, que par courrier du 28 juillet 2011, A.F.________ a fourni une décision du 18 mai 2011 émanant de la Justice de paix des districts du Jura-Nord vaudois et du Gros-de-Vaud qui l'a nommée tutrice de B.F.________ en application de l'art. 369 CC (Code civil suisse du 10 décembre 1907, RS 210), que par courrier du 18 août 2011, A.F.________ a déclaré retirer purement et simplement l'acte de recours qu'elle avait déposé au nom de son mari le 8 juin 2011 à l'encontre du prononcé rendu le 30 mai 2011 par le Tribunal de police de l'arrondissement de La Broye et du Nord vaudois, qu'il y a lieu de prendre acte de ce retrait, A.F.________ ayant la qualité pour recourir au nom de son époux (cf. art. 106 al. 2 et 382 CPP) et par conséquent le droit de retirer le recours interjeté au nom de ce dernier, qu'en outre, les conditions de l'art. 386 al. 2 let. b CPP sont réalisées en l'espèce, que la cause peut dès lors être rayée du rôle, sans frais. Par ces motifs, la Chambre des recours pénale, statuant à huis clos, prononce : I. La cause est rayée du rôle. II. Le présent arrêt, rendu sans frais, est exécutoire. Le président :               La greffière : Du L'arrêt qui précède, dont la rédaction a été approuvée à huis clos, est notifié, par l'envoi d'une copie complète, à : - Mme A.F.________, (pour B.F.________), - Ministère public central, et communiqué à : ‑ Mme la Présidente du Tribunal d'arrondissement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