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437 vom 21. Juli 2011</w:t>
      </w:r>
    </w:p>
    <w:p>
      <w:r>
        <w:t>VD Tribunal cantonal, 2011-07-21, FR</w:t>
      </w:r>
    </w:p>
    <w:p>
      <w:r>
        <w:rPr>
          <w:b/>
        </w:rPr>
        <w:t xml:space="preserve">Quelle: </w:t>
      </w:r>
      <w:r>
        <w:t>https://mcp.opencaselaw.ch/entscheid/vd_findinfo_D_cision___2011___437</w:t>
      </w:r>
    </w:p>
    <w:p>
      <w:r>
        <w:t>FR: VD_FINDINFO Décision / 2011 / 437 du 21 juillet 2011</w:t>
      </w:r>
    </w:p>
    <w:p>
      <w:r>
        <w:t>IT: VD_FINDINFO Décision / 2011 / 437 del 21 luglio 2011</w:t>
      </w:r>
    </w:p>
    <w:p>
      <w:pPr>
        <w:pStyle w:val="Heading2"/>
      </w:pPr>
      <w:r>
        <w:t>Regeste</w:t>
      </w:r>
    </w:p>
    <w:p>
      <w:r>
        <w:t>CONSULTATION DU DOSSIER, OUVERTURE DE LA PROCÉDURE, DROIT DE PARTIE, ADMINISTRATION DES PREUVES | 101 CPP (CH), 309 al. 1 let. a CPP (CH), 309 al. 2 CPP (CH)</w:t>
      </w:r>
    </w:p>
    <w:p>
      <w:pPr>
        <w:pStyle w:val="Heading2"/>
      </w:pPr>
      <w:r>
        <w:t>Erwägungen</w:t>
      </w:r>
    </w:p>
    <w:p>
      <w:r>
        <w:rPr>
          <w:b/>
        </w:rPr>
        <w:t>E. 1</w:t>
      </w:r>
    </w:p>
    <w:p>
      <w:r>
        <w:t>Aux termes de l’art. 393 al. 1 let. a CPP, le recours est recevable contre les décisions et actes de procédure du ministère public. Une décision du ministère public refusant la consultation du dossier (art. 101 CPP) est ainsi susceptible de recours selon les art. 393 ss CPP (Stephenson/Thiriet, in: Niggli/Heer/Wiprächtiger (éd.), Basler Kommentar, Schweizerische Strafprozessordnung, Jugendstrafprozessordnung, Bâle 2011, n. 10 ad art. 393 CPP; Rémy, in: Kuhn/Jeanneret (éd.), Commentaire romand, Code de procédure pénale suisse, Bâle 2011, n. 10 ad art. 393 CPP). Ce recours s’exerce devant l’autorité de recours (cf. art. 20 al. 1 let. b CPP), qui est la Chambre des recours pénale du Tribunal cantonal (art. 13 LVCPP [Loi d'introduction du Code de procédure pénale suisse du 19 mai 2009, RSV 312.01] ; art. 80 LOJV [Loi d'organisation judiciaire du 12 décembre 1979, RSV 173.01]).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qui satisfait aux conditions de forme posées par l’art. 385 al. 1 CPP. En tant que partie plaignante, qui peut se prévaloir d’un intérêt digne de protection à l’annulation ou à la modification d’une décision lui refusant le droit de consulter le dossier, N.________ a qualité pour recourir au sens de l’art. 382 CPP.</w:t>
      </w:r>
    </w:p>
    <w:p>
      <w:r>
        <w:rPr>
          <w:b/>
        </w:rPr>
        <w:t>E. 2</w:t>
      </w:r>
    </w:p>
    <w:p>
      <w:r>
        <w:t>a) La consultation des dossiers dans le cadre d’une procédure pénale est régie par l’art. 101 CPP. Aux termes de l'alinéa 1 de cette disposition, les parties peuvent consulter le dossier d’une procédure pénale pendante, au plus tard après la première audition du prévenu et l’administration des preuves principales par le ministère public, l’art. 108 CPP étant réservé. En l'espèce, dans la mesure où aucune instruction n'a été formellement ouverte, le plaignant n'a pas le droit de consulter le dossier, ni de participer à l'administration des preuves. b) On peut toutefois se demander jusqu'à quel stade le procureur peut procéder à des mesures d'investigation, sans ouvrir formellement une instruction, en privant ainsi les parties de l'exercice de leurs droits. Aux termes de l'art. 309 al. 1 let. a CPP, le ministère public ouvre une instruction lorsqu'il ressort du rapport de police, des dénonciations ou de ses propres constatations des soupçons suffisants laissant présumer qu'une infraction a été commise. Par soupçons suffisants, on entend des soupçons moyens, à savoir des motifs importants qui parlent en faveur de l'existence d'une infraction, et pas nécessairement de forts soupçons, tels que requis pour ordonner la détention provisoire (Schmid, Handbuch des schweizerischen Strafprozessrechts, 2009, n. 1228, pp. 560 s.) Le procureur peut renvoyer à la police, pour complément d'enquête, les rapports et les dénonciations qui n'établissent pas clairement les soupçons retenus (art. 309 al. 2 CPP). A titre préalable, on relèvera que la plainte est assimilée à la dénonciation au sens de cette disposition. Il en découle que le renvoi à la police peut aussi avoir lieu dans le cadre d'une infraction se poursuivant sur plainte (Cornu, in: Kuhn/Jeanneret (éd.), Commentaire romand, Code de procédure pénale suisse, Bâle 2011, nn. 6 et 10 ad art. 309 CPP). Cela étant, la possibilité de renvoi à la police ne doit être utilisée qu'avec retenue et les points sur lesquels l'enquête doit être complétée doivent être définis avec précision, dès lors que d'une part, l'instruction est avant tout de la compétence du ministère public, et que d'autre part, il doit être décidé au plus vite de l'ouverture de l'enquête. Par ailleurs, en cas de doute, l'instruction doit être ouverte. En particulier, la possibilité offerte par l'art. 309 al. 2 CPP ne saurait permettre de contourner l'art. 312 CPP, ni de retarder l'ouverture de l'instruction, et ainsi léser les garanties données aux parties (Schmid, op. cit., n. 1229, p. 561; Landshut, in: Donatsch/Hansjakob/Lieber, Kommentar zur Schweizerischen Strafprozessordnung, 2010, n. 40 ad art. 309 CPP). En l'espèce, on ne peut que constater que le procureur a mésusé de la possibilité offerte par l'art. 309 CPP, en faisant entendre par la police, comme personnes appelées à donner des renseignements, les personnes contre qui la plainte était dirigée, alors que les soupçons étaient clairement définis dans la plainte. C'est également à tort qu'après avoir convoqué lui-même des témoins, le procureur n'a toujours pas ouvert d'enquête, privant ainsi les parties de l'exercice de leurs droits. Il lui appartiendra dès lors d'ouvrir formellement l'instruction, conformément à l'art. 309 al. 3 CPP, d'autant plus qu'à ce stade, compte tenu des opérations déjà effectuées, il n'est plus possible de rendre une ordonnance de non-entrée en matière.</w:t>
      </w:r>
    </w:p>
    <w:p>
      <w:r>
        <w:rPr>
          <w:b/>
        </w:rPr>
        <w:t>E. 3</w:t>
      </w:r>
    </w:p>
    <w:p>
      <w:r>
        <w:t>En définitive, le recours doit être admis et la décision annulée. Le dossier de la cause est renvoyé au Procureur de l'arrondissement de La Côte pour qu'il procède dans le sens des considérants, puis rende une nouvelle décision. Les frais de la procédure de recours, constitués en l'espèce de l'émolument du présent arrêt (art. 422 al. 1 CPP), par 770 fr. (art. 20 al. 1 TFJP, RSV 312.03.01), sont laissés à la charge de l'Etat. S'agissant des dépens réclamés par le recourant, ils suivent le sort de la cause au fond (cf. art. 433 CPP; Mizel/Rétornaz, in: Kuhn/Jeanneret (éd.), op. cit., n. 13 ad art. 433 CPP). Par ces motifs, la Chambre des recours pénale, statuant à huis clos : I. Admet le recours. II. Annule la décision. III. Renvoie le dossier au Procureur de l'arrondissement de La Côte pour qu'il procède dans le sens des considérants, puis rende une nouvelle décision. IV. Dit que les frais de la procédure de recours, par 770 fr. (sept cent septante francs), sont laissés à la charge de l'Etat. V. Déclare le présent arrêt exécutoire. Le président :               La greffière : Du L'arrêt qui précède, dont la rédaction a été approuvée à huis clos, est notifié, par l'envoi d'une copie complète, à : - M. Pierre-Xavier Luciani, avocat (pour N.________), - M. Denis Weber, avocat (pour F.P.________), - Ministère public central; et communiqué à : ‑ M. le Procureur de l'arrondissement de La Côte,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