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418 vom 10. Mai 2011</w:t>
      </w:r>
    </w:p>
    <w:p>
      <w:r>
        <w:t>VD Tribunal cantonal, 2011-05-10, FR</w:t>
      </w:r>
    </w:p>
    <w:p>
      <w:r>
        <w:rPr>
          <w:b/>
        </w:rPr>
        <w:t xml:space="preserve">Quelle: </w:t>
      </w:r>
      <w:r>
        <w:t>https://mcp.opencaselaw.ch/entscheid/vd_findinfo_D_cision___2011___418</w:t>
      </w:r>
    </w:p>
    <w:p>
      <w:r>
        <w:t>FR: VD_FINDINFO Décision / 2011 / 418 du 10 mai 2011</w:t>
      </w:r>
    </w:p>
    <w:p>
      <w:r>
        <w:t>IT: VD_FINDINFO Décision / 2011 / 418 del 10 maggio 2011</w:t>
      </w:r>
    </w:p>
    <w:p>
      <w:pPr>
        <w:pStyle w:val="Heading2"/>
      </w:pPr>
      <w:r>
        <w:t>Regeste</w:t>
      </w:r>
    </w:p>
    <w:p>
      <w:r>
        <w:t>CLASSEMENT DE LA PROCÉDURE | 310 CPP (CH)</w:t>
      </w:r>
    </w:p>
    <w:p>
      <w:pPr>
        <w:pStyle w:val="Heading2"/>
      </w:pPr>
      <w:r>
        <w:t>Volltext</w:t>
      </w:r>
    </w:p>
    <w:p>
      <w:r>
        <w:t>Vaud Tribunal cantonal Chambre des recours pénale 30.06.2011 Décision / 2011 / 418</w:t>
      </w:r>
    </w:p>
    <w:p>
      <w:r>
        <w:t>CLASSEMENT DE LA PROCÉDURE | 310 CPP (CH)</w:t>
      </w:r>
    </w:p>
    <w:p>
      <w:r>
        <w:t>TRIBUNAL CANTONAL 300 PE11.005911-SJI CHAMBRE DES RECOURS PENALE __________________________________________ Séance du 30 juin 2011 __________________ Présidence de               M. Krieger , président Juges :              Mme Epard et M. Abrecht Greffière :              Mme Mirus ***** Art. 310 al. 1 let. a; 393 ss CPP Vu la plainte déposée le 15 avril 2011 par Z.________ et consorts contre C.Y.________ et B.Y.________ pour escroquerie et abus de confiance, vu l'ordonnance du 10 mai 2011, par laquelle le Ministère public de l'arrondissement de Lausanne a refusé d'entrer en matière et laissé les frais à la charge de l'Etat, vu le recours interjeté en temps utile par Z.________ et consorts contre cette décision, vu les déterminations du procureur, vu les pièces du dossier; attendu qu'interjeté dans le délai légal (art. 322 al. 2 CPP [Code de procédure pénale suisse du 5 octobre 2007, RS 312.0] par renvoi de l'art. 310 al. 2 et art. 396 al. 1 CPP) contre une décision du Ministère public (art. 393 al. 1 let. a CPP), par les plaignants qui ont qualité pour recourir (art. 382 al. 1 CPP), et dans les formes prescrites (art. 385 al. 1 CPP), le recours est recevable; attendu que le 15 avril 2011, Z.________ et consorts ont déposé plainte contre C.Y.________ et B.Y.________, qu'en substance, les parties plaignantes reprochent à ces derniers de les avoir convaincus d'acheter des appartements en propriété par étage sur plans, sans intention de leur livrer le bien immobilier promis, que le procureur a refusé d'entrer en matière, qu'il a en effet estimé que le litige, relatif à une mauvaise exécution d'un contrat d'entreprise et à l'application des dispositions sur la garantie des défauts de l'ouvrage, était de nature exclusivement civile, hors de la compétence du juge pénal, que les parties plaignantes contestent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il n’est pas possible d’affirmer d’emblée, sans mesure d’instruction, que tous les griefs invoqués sont d'ordre purement civil, qu'en effet, selon les parties plaignantes, C.Y.________ et B.Y.________ auraient systématiquement surestimé les surfaces des appartements, que pour attirer les acheteurs, ils auraient intégré dans leur projet la construction d'une verrière, alors qu'ils n'avaient nullement l'intention de livrer ce bien, qui serait au demeurant impossible à réaliser, qu'ils auraient en outre incité les plaignants à payer le solde du prix de vente, alors qu'ils savaient que le permis d'habiter ne serait pas délivré, qu'ils les auraient également incités à commander des travaux, en assurant que ceux-ci étaient compris dans le prix, mais en les facturant par la suite, que tels qu'allégués, ces faits pourraient être constitutifs d'infractions pénales, notamment d'escroquerie, qu’il est ainsi nécessaire que le procureur ouvre une instruction conformément à l’art. 309 CPP, afin d'examiner ces divers griefs; attendu, en définitive, que le recours est admis et l'ordonnance attaquée annulée, que le dossier de la cause est renvoyé au Procureur de l'arrondissement de Lausanne pour qu'il procède dans le sens des considérants, puis rende une nouvelle décision, que les frais de la procédure de recours, constitués en l'espèce de l'émolument du présent arrêt (art. 422 al. 1 CPP), par 440 fr. (art. 20 al. 1 TFJP, RSV 312.03.01), sont laissés à la charge de l'Etat. Par ces motifs, la Chambre des recours pénale, statuant à huis clos : I. Admet le recours. II. Annule l'ordonnance. III. Renvoie le dossier au Procureur de l'arrondissement de Lausanne pour qu'il procède dans le sens des considérants, puis rende une nouvelle décision.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Marc-Daniel Wachtl, avocat (pour Z.________ et consorts),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