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414 vom 22. April 2010</w:t>
      </w:r>
    </w:p>
    <w:p>
      <w:r>
        <w:t>VD Tribunal cantonal, 2010-04-22, FR</w:t>
      </w:r>
    </w:p>
    <w:p>
      <w:r>
        <w:rPr>
          <w:b/>
        </w:rPr>
        <w:t xml:space="preserve">Quelle: </w:t>
      </w:r>
      <w:r>
        <w:t>https://mcp.opencaselaw.ch/entscheid/vd_findinfo_D_cision___2011___414</w:t>
      </w:r>
    </w:p>
    <w:p>
      <w:r>
        <w:t>FR: VD_FINDINFO Décision / 2011 / 414 du 22 avril 2010</w:t>
      </w:r>
    </w:p>
    <w:p>
      <w:r>
        <w:t>IT: VD_FINDINFO Décision / 2011 / 414 del 22 aprile 2010</w:t>
      </w:r>
    </w:p>
    <w:p>
      <w:pPr>
        <w:pStyle w:val="Heading2"/>
      </w:pPr>
      <w:r>
        <w:t>Regeste</w:t>
      </w:r>
    </w:p>
    <w:p>
      <w:r>
        <w:t>FRAIS JUDICIAIRES | 158 CPP, 393 al. 1 let. b CPP (CH)</w:t>
      </w:r>
    </w:p>
    <w:p>
      <w:pPr>
        <w:pStyle w:val="Heading2"/>
      </w:pPr>
      <w:r>
        <w:t>Erwägungen</w:t>
      </w:r>
    </w:p>
    <w:p>
      <w:r>
        <w:rPr>
          <w:b/>
        </w:rPr>
        <w:t>E. 2</w:t>
      </w:r>
    </w:p>
    <w:p>
      <w:r>
        <w:t>CEDH, le prévenu libéré des fins de l'action pénale peut être condamné aux frais lorsque l'équité l'exige, notamment s'il a donné lieu à l'enquête ou l'a compliquée par un comportement critiquable au regard du droit civil, qu'abstraction faite de toute appréciation de culpabilité, le prévenu répond en effet, selon les principes inspirés par le droit civil, des frais qu'il a provoqués par un tel comportement (ATF 116 Ia 160, JT 1992 IV 52, et les références citées; ATF 114 Ia 299, JT 1990 IV 27), que la mise des frais d'enquête à la charge du prévenu libéré des fins de la poursuite pénale suppose en outre une relation de causalité entre les frais provoqués par l'enquête et le comportement critiquable du prévenu (ATF 109 Ia 160, JT 1984 IV 85, spéc. 86), qu'en l'espèce, B.________ a reconnu avoir giflé K.________ au mois de septembre 2008 (PV aud. 3), qu'il a également admis que le 11 octobre 2009, les époux s'étaient empoignés et que le soir, il avait donné une gifle à sa femme (PV aud. 5, lignes 22 et 48), que c'est donc à raison que le premier juge a considéré que le comportement du recourant – au demeurant admis par celui-ci – pouvait être qualifié de civilement répréhensible et était à l'origine de l'ouverture de l'enquête pénale, que certes, B.________ invoque à chaque fois des faits justificatifs, que, toutefois, sur la base des pièces au dossier et des témoins entendus, la Présidente pouvait juger qu'ils étaient sans incidence sur le caractère fautif du comportement du recourant, qu'au vu de ce qui précède, il se justifie de mettre une partie des frais à la charge de B.________; attendu que le recourant se plaint ensuite du fait qu'il n'est pas possible de déterminer la part des frais mise à sa charge, qu'en réalité, il ressort du dossier que la totalité des frais de justice s'élèvent à 7'173 fr. 90, que la part mise à la charge du recourant, par 5'463 fr. 90, comprend l'indemnité due à son défenseur d'office, par 2'107 fr. 35, plus l'indemnité due au conseil d'office de K.________, par 2'356 fr. 55, plus la somme de 1'000 fr., à titre de participation aux frais de justice, que c'est un montant de 1'710 fr. qui a été laissé à la charge de l'Etat, que la proportion entre le total des frais et la part mise à la charge du recourant correspond à 76%, que cette proportion n'est pas critiquable, d'autant plus que le comportement du recourant aurait pu justifier qu'il s'acquitte de l'entier des frais de justice (cf. art. 158 CPP-VD); attendu, en définitive, que le recours, mal fondé, doit être rejeté, que les frais de la procédure de recours, constitués en l'espèce de l'émolument du présent arrêt, par 440 fr. (art. 20 al. 1 TFJP; RSV 312.03.1), ainsi que des frais imputables à la défense d'office (art. 422 al. 1 et 2 let. a CPP), fixés à 270 fr., plus la TVA, par 21 fr. 60, soit 291 fr. 60,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prononcé. III. Fixe à 291 fr. 60 (deux cent nonante et un francs et soixante centimes) l'indemnité allouée au défenseur d'office de B.________. IV. Dit que l'émolument d'arrêt, par 440 fr. (quatre cent quarante francs), ainsi que l'indemnité due au défenseur d'office du recourant, par 291 fr. 60 (deux cent nonante et un francs et soixante centimes), sont mis à la charge de ce dernier. V. Dit que le remboursement à l'Etat de l'indemnité allouée au chiffre III ci-dessus sera exigible pour autant que la situation économique de B.________ se soit améliorée. VI. Déclare le présent arrêt exécutoire. Le président :               La greffière : Du L'arrêt qui précède, dont la rédaction a été approuvée à huis clos, est notifié, par l'envoi d'une copie complète, à : - M. Renaud Lattion, avocat (pour B.________), - M. Michel Dupuis, avocat (pour K.________), - Ministère public central; et communiqué à : ‑ Mme la Présidente du Tribunal d'arrondissement de La Broye et du Nord vaudois,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