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391 vom 11. Juli 2011</w:t>
      </w:r>
    </w:p>
    <w:p>
      <w:r>
        <w:t>VD Tribunal cantonal, 2011-07-11, FR</w:t>
      </w:r>
    </w:p>
    <w:p>
      <w:r>
        <w:rPr>
          <w:b/>
        </w:rPr>
        <w:t xml:space="preserve">Quelle: </w:t>
      </w:r>
      <w:r>
        <w:t>https://mcp.opencaselaw.ch/entscheid/vd_findinfo_D_cision___2011___391</w:t>
      </w:r>
    </w:p>
    <w:p>
      <w:r>
        <w:t>FR: VD_FINDINFO Décision / 2011 / 391 du 11 juillet 2011</w:t>
      </w:r>
    </w:p>
    <w:p>
      <w:r>
        <w:t>IT: VD_FINDINFO Décision / 2011 / 391 del 11 luglio 2011</w:t>
      </w:r>
    </w:p>
    <w:p>
      <w:pPr>
        <w:pStyle w:val="Heading2"/>
      </w:pPr>
      <w:r>
        <w:t>Regeste</w:t>
      </w:r>
    </w:p>
    <w:p>
      <w:r>
        <w:t>DÉFENSE D'OFFICE, DÉFENSE NÉCESSAIRE | 132 CPP (CH), 393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En l'espèce, le recours est recevable puisqu'il a été interjeté dans le délai légal, contre une décision du ministère public, par le prévenu qui a qualité pour recourir et qu'il satisfait aux conditions de forme posées par l’art. 385 al. 1 CPP.</w:t>
      </w:r>
    </w:p>
    <w:p>
      <w:r>
        <w:rPr>
          <w:b/>
        </w:rPr>
        <w:t>E. 2</w:t>
      </w:r>
    </w:p>
    <w:p>
      <w:r>
        <w:t>a)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b)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op. cit., n. 18 ad art. 130 CPP ; ATF 120 Ia 43).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ATF 123 I 145 c. 2b/cc; ATF 122 I 49 c. 2c/bb et les arrêts cités). Le degré de complexité de l’affaire requis pour justifier la désignation d’un défenseur d’office sera d’autant plus élevé que la peine prévisible est basse, et, inversement, d’autant moins élevé que la situation se rapproche d’un cas de défense obligatoire au sens de l’art. 130 CPP (Ruckstuhl, op. cit., n. 37 ad art. 132 CPP). c) Une personne est indigente (cf. art. 132 al. 1 let. b CPP)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soit d’une part ses revenus et sa fortune (ATF 124 I 1 c. 2a; ATF 120 Ia 179 c. 3a; ATF 119 Ia 11 c. 3a et 5) – ainsi que, le cas échéant, celles des personnes qui ont à son égard une obligation d’entretien, notamment en vertu d'un devoir d'assistance de la famille (ATF 127 I 202 c. 3c) – et, d’autre part, ses charges, étant précisé que dans ce contexte, le minimum vital du droit des poursuites n’est pas déterminant en soi (ATF 124 I 1 c. 2a et les arrêts cités; Harari/Aliberti, op. cit., n. 34 ad art. 132 CPP). Il incombe à celui qui demande l’assistance judiciaire de fournir des pièces renseignant sur ses revenus, sa fortune, ses charges financières complètes et ses besoins élémentaires actuels (ATF 125 IV 161 c. 4a).</w:t>
      </w:r>
    </w:p>
    <w:p>
      <w:r>
        <w:rPr>
          <w:b/>
        </w:rPr>
        <w:t>E. 3</w:t>
      </w:r>
    </w:p>
    <w:p>
      <w:r>
        <w:t>a) En l’espèce, le recourant fait d’abord valoir que, contrairement à ce que retient la décision attaquée, son indigence est établie, dès lors que le rapport de renseignements généraux établi le 24 mars 2011 par la police de Lausanne (P. 5) indique qu’il bénéficie du RI et qu’il a 420'000 fr. de dettes. Il soutient ensuite qu’au vu des faits qui lui sont reprochés, il encourt une peine privative de liberté de plus d’un an (art. 130 let. b CPP), ce qui fonde un cas de défense obligatoire et implique l’assistance d’un défenseur d’office. Il fait valoir qu'il lui est en effet reproché d’avoir saisi au cou J.________ à deux reprises, et X.________, entendue comme témoin, a affirmé que le prévenu avait tenu sa fille « fortement par le cou et l’a[vait] secouée» (PV aud. 3, p. 3; P. 9, p. 2 enquête n° PE11.005326-SJI). Il considère qu'il y aurait dès lors un risque sérieux qu'on lui reproche d’avoir mis en danger la vie d’autrui au sens de l’art. 129 CP, dès lors qu’en cas de strangulation, le Tribunal fédéral admet de jurisprudence constante qu’il y a un danger de mort (TF 6S.40/2004 du 6 avril 2004 c. 2). Subsidiairement, le recourant estime que l’assistance d’un défenseur est également justifiée pour sauvegarder ses intérêts au sens des art. 132 al. 1 let. b et al. 2 et 3 CPP. Le cas ne serait en effet pas de peu de gravité et la qualification des faits est d'une complexité que le prévenu ne saurait maîtriser seul. b) Contrairement à ce que soutient le recourant, il n’apparaît pas, sur le vu du dossier et notamment des déclarations du témoin X.________, que le recourant s’expose à être condamné pour mise en danger la vie d’autrui au sens de l’art. 129 CP, une strangulation susceptible d’entraîner la mort par réflexe cardio-inhibiteur ou par asphyxie n’étant nullement établie en l’espèce. Comme cela ressort d’ailleurs de la décision attaquée, le recourant n’est poursuivi que pour voies de fait, vol, subsidiairement appropriation illégitime, et menaces. Au vu des circonstances particulières objectives du cas, il ne saurait encourir une peine privative de liberté de plus d’un an (cf. art. 130 let. b CPP), et il est même douteux qu’il soit concrètement passible d’une peine privative de liberté de plus de quatre mois, d’une peine pécuniaire de plus de 120 jours-amende ou d’un travail d’intérêt général de plus de 480 heures (cf. art. 132 al. 3 CPP). En tous les cas, la cause ne présente manifestement, sur le plan des faits ou du droit, des difficultés que le recourant seul ne pourrait surmonter, de sorte que l’assistance d’un défenseur n’apparaît pas nécessaire à la sauvegarde de ses intérêts.</w:t>
      </w:r>
    </w:p>
    <w:p>
      <w:r>
        <w:rPr>
          <w:b/>
        </w:rPr>
        <w:t>E. 4</w:t>
      </w:r>
    </w:p>
    <w:p>
      <w:r>
        <w:t>Les conditions de l’art. 132 CPP n’étant pas remplies, la décision attaquée échappe à la critique. Manifestement mal fondé, le recours doit être rejeté sans autres échanges d’écritures (art. 390 al. 2 CPP), et l'ordonnance confirmée. Les frais de la procédure de recours, constitués en l’espèce du seul émolument d'arrêt, par 660 fr. (art. 20 al. 1 TFJP [Tarif des frais judiciaires pénaux du 28 septembre 2010, RSV 312.03.1]), seront mis à la charge du recourant, qui succombe (art. 428 al. 1 CPP). Par ces motifs, la Chambre des recours pénale, statuant à huis clos, prononce : I. Le recours est rejeté. II. L'ordonnance est confirmée. III. Les frais du présent arrêt, par 660 fr. (six cent soixante francs), sont mis à la charge de B.________. IV. Le présent arrêt est exécutoire. Le président :               La greffière : Du L'arrêt qui précède, dont la rédaction a été approuvée à huis clos, est notifié, par l'envoi d'une copie complète, à : - M. Christophe Tafelmacher, avocat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