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308 vom 28. Juni 2011</w:t>
      </w:r>
    </w:p>
    <w:p>
      <w:r>
        <w:t>VD Tribunal cantonal, 2011-06-28, FR</w:t>
      </w:r>
    </w:p>
    <w:p>
      <w:r>
        <w:rPr>
          <w:b/>
        </w:rPr>
        <w:t xml:space="preserve">Quelle: </w:t>
      </w:r>
      <w:r>
        <w:t>https://mcp.opencaselaw.ch/entscheid/vd_findinfo_D_cision___2011___308</w:t>
      </w:r>
    </w:p>
    <w:p>
      <w:r>
        <w:t>FR: VD_FINDINFO Décision / 2011 / 308 du 28 juin 2011</w:t>
      </w:r>
    </w:p>
    <w:p>
      <w:r>
        <w:t>IT: VD_FINDINFO Décision / 2011 / 308 del 28 giugno 2011</w:t>
      </w:r>
    </w:p>
    <w:p>
      <w:pPr>
        <w:pStyle w:val="Heading2"/>
      </w:pPr>
      <w:r>
        <w:t>Regeste</w:t>
      </w:r>
    </w:p>
    <w:p>
      <w:r>
        <w:t>DÉTENTION PRÉVENTIVE, RISQUE DE FUITE, RISQUE DE RÉCIDIVE | 221 CPP (CH), 222 CPP (CH), 393 al. 1 let. c CPP (CH)</w:t>
      </w:r>
    </w:p>
    <w:p>
      <w:pPr>
        <w:pStyle w:val="Heading2"/>
      </w:pPr>
      <w:r>
        <w:t>Erwägungen</w:t>
      </w:r>
    </w:p>
    <w:p>
      <w:r>
        <w:rPr>
          <w:b/>
        </w:rPr>
        <w:t>E. 1</w:t>
      </w:r>
    </w:p>
    <w:p>
      <w:r>
        <w:t>a) 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 RS 173.01]), le recours est donc recevable. b) L'autorité de recours se fonde, pour statuer, non seulement sur les preuves administrées pendant la procédure préliminaire et le cas échéant pendant la procédure de première instance (art. 389 al. 1 CPP), mais sur l'ensemble des pièces du dossier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Stephenson/Thiriet, in: Niggli/Heer/Wiprächtiger (éd.), Basler Kommentar, Schweizerische Strafprozess-ordnung, 2011, n. 2 ad art. 397 CPP). Elle peut donc tenir compte des pièces nouvelles produites devant elle.</w:t>
      </w:r>
    </w:p>
    <w:p>
      <w:r>
        <w:rPr>
          <w:b/>
        </w:rPr>
        <w:t>E. 2</w:t>
      </w:r>
    </w:p>
    <w:p>
      <w:r>
        <w:t>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outre, selon l’art. 221 al. 2 CPP, la détention peut être ordonnée s’il y a sérieusement lieu de craindre qu’une personne passe à l’acte après avoir menacé de commettre un crime grave. b) Selon la jurisprudence constante du Tribunal fédéral, pour qu'une personne soit placée ou maintenue en détention provisoire,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in: Kuhn/Jeanneret (éd.), op. cit., n. 8 ad art. 221 CPP; Forster, in: Niggli/Heer/Wiprächtiger (éd.), op. cit., n. 3 ad art. 221 CPP).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mais doivent uniquement examiner s'il existe des indices sérieux de culpabilité justifiant une telle mesure (ATF 116 Ia 413 c. 3c ; ATF 124 I 208 c. 3; TF 1B_423/2010 du 17 janvier 2011 c. 4.1; TF 1B_410/2010 du 23 décembre 2010 c. 4.1 ; Forster, op. cit., n. 3 ad art. 221 CPP). Il appartient en effet au juge du fond, et non à celui de la détention qui est soumis au principe de la célérité (art. 31 al. 3 et 4 Cst.; art. 5 al. 2 CPP), d'apprécier la culpabilité du prévenu (TF 1B_423/2010 du 17 janvier 2011 c. 4.2 ; TF 1B_410/2010 du 23 décembre 2010 c. 4.2 ; Schmocker, op. cit., n. 8 ad art. 221 CPP). En l’espèce, B.________ est fortement soupçonné d’avoir commis trois vols distincts, ceci sur la seule base des faits liés à son interpellation du 18 juin 2011, et, pour l’un de ces cas, il est formellement confondu par dactyloscopie. Par ailleurs, il fait déjà l’objet d’une enquête distincte portant sur plusieurs vols et il a, lors de ses différentes auditions des 18, 19 et 20 juin 2011, admis en avoir commis deux. Il a par ailleurs varié dans ses déclarations sur la provenance de l’argent trouvé sur lui, qui excède le montant qui lui est octroyé au début de chaque mois, alors même que son interpellation a eu lieu en deuxième quinzaine du mois. Il existe ainsi contre le prévenu des indices sérieux de culpabilité, ainsi que l’a d’ailleurs retenu le Tribunal des mesures de contrainte, qui a relevé que les dénégations apportées par B.________ se révélaient bien moins convaincantes que les bandes audio-visuelles mises à disposition de l’enquête par les commerces où le prévenu était censé avoir agi. c) Comme on l’a vu ci-dessus (cf. c. 2a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références citées; cf. Forster, op. cit., n. 5 ad art. 221 CPP) – ne peut être admis que s’il existe une certaine probabilité que le prévenu se soustrairait à la procédure pénale en cours ou à l’exécution de la peine s’il était en liberté. La gravité de la peine encourue constitue un indice dans ce sens, mais ne saurait être déterminante à elle seule. Il convient au contraire de prendre en considération les circonstances concrètes du cas d’espèce, en particulier l’ensemble de la situation personnelle du prévenu (ATF 125 I 60 c. 3a; ATF 117 Ia 69 c. 4a et les arrêts cités;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Schmocker, op. cit., n. 12 ad art. 221 CPP ; TF 1B_422/2010 du 11 janvier 2011 c. 2.1). En l’espèce, le Tribunal des mesures de contrainte a nié le risque de fuite. Il a en effet relevé que le casier judiciaire suisse du prévenu était vierge et que, compte tenu de son statut de requérant d'asile, on pouvait sérieusement douter que les faits qui lui étaient reprochés en l’état et la perspective d’avoir à subir une première peine ne l’amènent à se soustraire à la suite de la procédure. Toutefois, il ressort du dossier que d’après ses propres déclarations, B.________ est arrivé en Suisse au début de l'année 2011 et y a déposé une demande d’asile. Or, depuis ce moment, il est fortement soupçonné de n’avoir cessé de commettre des vols, comme le démontrent les premiers éléments figurant au dossier, faisant état de plaintes déposées en février, mars, avril et juin 2011. Lors de son interpellation, il a été trouvé en possession d'une somme d'argent excédant le montant modeste mis à sa disposition au début du mois. Il n’a aucune attache en Suisse et il est ainsi fortement à craindre qu’il ne cherche à se soustraire à la procédure pénale en quittant le territoire pour déposer une demande d’asile dans un autre pays, voire en entrant dans la clandestinité. Compte tenu du nombre de cas de vols pour lesquels il est actuellement soupçonné, soit une douzaine, ce risque de fuite paraît particulièrement concret. Les conditions posées par l’art. 221 al. 1 let. a CPP pour justifier le maintien en détention provisoire en raison du risque de fuite sont ainsi remplies. d) Comme déjà mentionné ci-dessus (cf. c. 2a supra), le maintien en détention provisoire respectivement pour des motifs de sûreté se justifie également lorsqu’il y a sérieusement lieu de craindre que le prévenu compromette sérieusement la sécurité d’autrui par des crimes ou des délits graves après avoir déjà commis des infractions du même genre (art. 221 al. 1 let. c CPP). Par infractions du même genre déjà commises, il faut entendre non seulement des infractions déjà jugées, mais également des infractions pour lesquelles une procédure pénale est en cours (TF 1B_216/2007 du 11 octobre 2007 c. 3.2; TF 1P.462/2003 du 10 septembre 2003 c. 3.3.1; Schmocker, op. cit., n. 18 ad art. 221 CPP). En l’espèce, le Tribunal des mesures de contrainte a estimé que le risque de réitération ne paraissait pas non plus découler clairement de la situation de ce prévenu, celui-ci n'ayant aucun antécédent et disposant, du moins en théorie, de moyens de subsistance lui permettant de ne pas entrer dans la clandestinité. Toutefois, il ressort du dossier que B.________ a déjà été entendu par la police et a reconnu la commission de deux vols. Il est en outre fortement soupçonné d’en avoir commis plusieurs autres, soit une douzaine au total, alors qu’il avait déjà été interpellé par la police. De forts indices donnent à penser que le vol est une source de revenus régulière du prévenu, qui ne paraît pas vouloir se contenter du montant modeste mis à sa disposition par l’EVAM et dont il est sérieusement à craindre qu’il persiste dans son activité délictueuse, s’il est laissé en liberté. Les conditions posées par l’art. 221 al. 1 let. c CPP pour justifier le maintien en détention provisoire en raison du risque de récidive sont ainsi également remplies.</w:t>
      </w:r>
    </w:p>
    <w:p>
      <w:r>
        <w:rPr>
          <w:b/>
        </w:rPr>
        <w:t>E. 3</w:t>
      </w:r>
    </w:p>
    <w:p>
      <w:r>
        <w:t>Sur le vu de ce qui précède, le recours, fondé, doit être admis et l’ordonnance attaquée réformée aux chiffres I et II de son dispositif en ce sens que la détention provisoire de B.________ est ordonnée et que l’attention du prévenu est attirée sur le fait qu’il peut en tout temps présenter une demande de mise en liberté (cf. art. 226 al. 3 CPP). Les frais de la procédure de recours, constitués en l’espèce de l'émolument du présent arrêt, par 1'100 fr. (art. 20 al. 1 TFJP; RSV 312.03.1), des frais de l’ordonnance provisionnelle du 23 juin 2011, par 440 fr., ainsi que des frais imputables à la défense d’office (art. 422 al. 1 et 2 let. a CPP), fixés à 360 fr., plus la TVA par 28 fr. 80, soit au total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Admet le recours. II. Réforme l'ordonnance attaquée aux chiffres I et II de son dispositif en ce sens que la détention provisoire de B.________ est ordonnée (I) et que l'attention du prévenu est attirée sur le fait qu'il peut en tout temps présenter une demande de mise en liberté (II). III. Maintient l'ordonnance pour le surplus. IV. Fixe à 388 fr. 80 (trois cent huitante-huit francs et huitante centimes) l'indemnité allouée au défenseur d'office de B.________. V. Dit que l'émolument d'arrêt, par 1'100 fr. (mille cent francs), les frais de l’ordonnance provisionnelle du 23 juin 2011, par 440 fr. (quatre cent quarante francs), ainsi que l'indemnité due au défenseur d'office du recourant, par 388 fr. 80 (trois cent huitante-huit francs et huitante centimes), sont mis à la charge de ce dernier. VI. Dit que le remboursement à l'Etat de l'indemnité allouée au chiffre IV ci-dessus sera exigible pour autant que la situation économique de B.________ se soit améliorée. VII. Déclare le présent arrêt exécutoire. La vice-présidente : La greffière : Du L'arrêt qui précède, dont la rédaction a été approuvée à huis clos, est notifié, par l'envoi d'une copie complète, à : - Mme Charlotte Iselin, avocate (pour B.________), - Ministère public central; et communiqué à : - Département de l'intérieur, Office d'exécution des peines, - Prison de la Croisée, ‑ Tribunal des mesures de contrainte,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