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305 vom 17. Juni 2011</w:t>
      </w:r>
    </w:p>
    <w:p>
      <w:r>
        <w:t>VD Tribunal cantonal, 2011-06-17, FR</w:t>
      </w:r>
    </w:p>
    <w:p>
      <w:r>
        <w:rPr>
          <w:b/>
        </w:rPr>
        <w:t xml:space="preserve">Quelle: </w:t>
      </w:r>
      <w:r>
        <w:t>https://mcp.opencaselaw.ch/entscheid/vd_findinfo_D_cision___2011___305</w:t>
      </w:r>
    </w:p>
    <w:p>
      <w:r>
        <w:t>FR: VD_FINDINFO Décision / 2011 / 305 du 17 juin 2011</w:t>
      </w:r>
    </w:p>
    <w:p>
      <w:r>
        <w:t>IT: VD_FINDINFO Décision / 2011 / 305 del 17 giugno 2011</w:t>
      </w:r>
    </w:p>
    <w:p>
      <w:pPr>
        <w:pStyle w:val="Heading2"/>
      </w:pPr>
      <w:r>
        <w:t>Regeste</w:t>
      </w:r>
    </w:p>
    <w:p>
      <w:r>
        <w:t>RISQUE DE FUITE, RISQUE DE RÉCIDIVE | 222 CPP (CH), 226 al. 5 CPP (CH)</w:t>
      </w:r>
    </w:p>
    <w:p>
      <w:pPr>
        <w:pStyle w:val="Heading2"/>
      </w:pPr>
      <w:r>
        <w:t>Volltext</w:t>
      </w:r>
    </w:p>
    <w:p>
      <w:r>
        <w:t>Vaud Tribunal cantonal Cour des assurances sociales 28.06.2011 Décision / 2011 / 305</w:t>
      </w:r>
    </w:p>
    <w:p>
      <w:r>
        <w:t>RISQUE DE FUITE, RISQUE DE RÉCIDIVE | 222 CPP (CH), 226 al. 5 CPP (CH)</w:t>
      </w:r>
    </w:p>
    <w:p>
      <w:r>
        <w:t>TRIBUNAL CANTONAL 223 PE11.009467-PHK CHAMBRE DES RECOURS PENALE __________________________________________ Séance du 28 juin 2011 __________________ Présidence de               Mme Epard , vice-présidente Juges :              M. Abrecht et Mme Byrde Greffier :              M. Addor ***** Art. 222, 226 al. 5, 393 al. 1 let. c CPP Vu l' enquête n° PE11.009467-BEB instruite d'office par le Procureur de l'arrondissement de Lausanne contre V.________ pour lésions corporelles simples qualifiées, mise en danger de la vie d'autrui, vol, infraction à la LEtr (Loi fédérale sur les étrangers; RS 142.20) et infraction à la LStup (Loi fédérale sur les stupéfiants; RS 812.121), vu la demande de mise en détention provisoire du prévenu adressée le 16 juin 2011 par le Ministère public de l'arrondissement de Lausanne au Tribunal des mesures de contrainte, vu l'ordonnance du 17 juin 2011, par laquelle le Tribunal des mesures de contrainte a refusé d'ordonner la détention provisoire de V.________ et dit qu'il est immédiatement mis en liberté, vu le recours interjeté le 20 juin 2011 par le Ministère public contre cette décision, vu la décision du 21 juin 2011, par laquelle le Président de la Chambre des recours pénale a ordonné, à titre provisionnel, le maintien en détention provisoire de V.________ jusqu'à droit connu sur le sort du recours déposé par le Ministère public, vu les déterminations du Tribunal des mesures de contrainte, vu les déterminations de V.________,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refusant d'ordonner la mise en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prévenu est mis en cause pour avoir donné un coup de poing au visage de [...] avant de le blesser au cou avec le décapsuleur de son couteau suisse, lui causant une coupure superficielle de quelque douze centimètres, le 15 juin 2011, qu'il lui est également reproché de séjourner et travailler illégalement en Suisse, d'avoir vendu une boulette et un parachute de cocaïne les 4 février et 13 avril 2011 et d'avoir dérobé un costume au préjudice d'un commerce à Lausanne, que s'agissant de l'altercation du 15 juin 2011, le prévenu affirme n'avoir cherché qu'à se défendre contre son antagoniste, qu'il existe toutefois des présomptions de culpabilité suffisantes à cet égard, compte tenu en particulier de la déposition de [...] du 16 juin 2011; attendu que le Ministère public a fondé sa demande de mise en détention provisoire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le prévenu a été condamné à trois reprises, le 12 juin 2007 par le Tribunal correctionnel de l'arrondissement de Lausanne, pour brigandage qualifié et infraction à la législation sur la police des étrangers, à 18 mois de peine privative de liberté, dont 9 mois avec sursis pendant trois ans, sous déduction de 286 jours de détention préventive; le 6 décembre 2007 par le Tribunal de police de l'arrondissement de Lausanne, pour infraction à la LStup et à la LSEE, à 30 jours de peine privative de liberté, sous déduction de 17 jours de détention préventive; et le 28 janvier 2011 par le Ministère public de Lenzburg, pour infraction à la LEtr, à une peine pécuniaire de 10 jours-amende à 30 fr. le jour, avec sursis pendant 2 ans, qu'il faut constater, à la lecture de l'extrait du casier judiciaire, que les condamnations précédentes du prévenu et ses séjours antérieurs en détention préventive n'ont eu aucun effet dissuasif, qu'une condamnation pour brigandage qualifié, même vieille de quatre ans, fait craindre que le prévenu compromette de nouveau sérieusement la sécurité d'autrui en s'en prenant à l'intégrité physique de tiers, qu'à cet égard, l'infraction de brigandage et celle de lésions corporelles simples qualifiées présentent une certaine similarité, bien qu'elles ne protègent pas le même bien juridique, que l'une et l'autre, en effet, comportent une forme de violence, que le risque de récidive apparaît ainsi concret et justifie le placement du prévenu en détention provisoire; attendu que le Ministère public soutient que la mise en détention du prévenu se justifie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V.________, ressortissant du Soudan, en situation irrégulière en Suisse, sans activité ni domicile fixe, n'a à l'évidence aucune attache en Suisse, qu'au vu de l'importance de la peine encourue et du fait que le prévenu tend à minimiser son activité délictueuse, il est à craindre qu'il ne cherche à se dérober aux poursuites engagées contre lui, ne serait-ce qu'en disparaissant dans la clandestinité (cf. Schmocker, in: Kuhn/Jeanneret (éd.), Commentaire romand, Code de procédure pénale suisse, 2011, n. 12 ad art. 221 CPP), que le risque de fuite justifie donc la mise en détention provisoire du prévenu; attendu, pour le surplus, que compte tenu des actes reprochés au prévenu et des jours qu'il a déjà passés en détention provisoire, depuis le 15 juin 2011, le principe de la proportionnalité demeure respecté (art. 212 al. 3 CPP; ATF 133 I 168 c. 4.1, et les références citées); attendu, en définitive, que le recours est admis et l'ordonnance attaquée réformée en ce sens qu'il est ordonné la mise en détention provisoire de V.________, que le Procureur de l'arrondissement de Lausanne est chargé de l'exécution de cette mesure sur la base du présent arrêt, que les frais de la procédure de recours, constitués de l'émolument d'arrêt, par 550 fr. (art. 20 al. 1 TFJP; RSV 312.03.1) et des frais imputables à la défense d'office (art. 422 al. 1 et 2 let. a CPP), fixés à 360 fr., plus la TVA par 28 fr. 80, soit 388 fr. 80, sont laissés à la charge de l'Etat. Par ces motifs, la Chambre des recours pénale, statuant à huis clos : I. Admet le recours. II. Réforme l'ordonnance attaquée en ce sens que la détention provisoire de V.________ est ordonnée. III. Charge le Procureur de l'arrondissement de Lausanne de l'exécution de cette mesure. IV. Fixe à 388 fr. 80 (trois cent huitante-huit francs et huitante centimes) l'indemnité allouée au défenseur d'office de V.________. V. Dit que les frais d'arrêt, par 550 fr. (cinq cent cinquante francs), ainsi que l'indemnité due au défenseur d'office de V.________, par 388 fr. 80 (trois cent huitante-huit francs et huitante centimes), sont laissés à la charge de l'Etat. VI. Déclare le présent arrêt exécutoire. Le président :               Le greffier : Du L'arrêt qui précède, dont la rédaction a été approuvée à huis clos, est notifié, par l'envoi d'une copie complète, à : - Mme Sandrine Chiavazza, avocate (pour V.________) (et par fax), - Ministère public central, et communiqué à : ‑ Tribunal des mesures de contrainte,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