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296 vom 11. Mai 2011</w:t>
      </w:r>
    </w:p>
    <w:p>
      <w:r>
        <w:t>VD Tribunal cantonal, 2011-05-11, FR</w:t>
      </w:r>
    </w:p>
    <w:p>
      <w:r>
        <w:rPr>
          <w:b/>
        </w:rPr>
        <w:t xml:space="preserve">Quelle: </w:t>
      </w:r>
      <w:r>
        <w:t>https://mcp.opencaselaw.ch/entscheid/vd_findinfo_D_cision___2011___296</w:t>
      </w:r>
    </w:p>
    <w:p>
      <w:r>
        <w:t>FR: VD_FINDINFO Décision / 2011 / 296 du 11 mai 2011</w:t>
      </w:r>
    </w:p>
    <w:p>
      <w:r>
        <w:t>IT: VD_FINDINFO Décision / 2011 / 296 del 11 maggio 2011</w:t>
      </w:r>
    </w:p>
    <w:p>
      <w:pPr>
        <w:pStyle w:val="Heading2"/>
      </w:pPr>
      <w:r>
        <w:t>Regeste</w:t>
      </w:r>
    </w:p>
    <w:p>
      <w:r>
        <w:t>CLASSEMENT DE LA PROCÉDURE, CONTRAINTE{DROIT PÉNAL} | 181 CP, 310 CPP (CH)</w:t>
      </w:r>
    </w:p>
    <w:p>
      <w:pPr>
        <w:pStyle w:val="Heading2"/>
      </w:pPr>
      <w:r>
        <w:t>Volltext</w:t>
      </w:r>
    </w:p>
    <w:p>
      <w:r>
        <w:t>Vaud Tribunal cantonal Chambre des recours civile 09.06.2011 Décision / 2011 / 296</w:t>
      </w:r>
    </w:p>
    <w:p>
      <w:r>
        <w:t>CLASSEMENT DE LA PROCÉDURE, CONTRAINTE{DROIT PÉNAL} | 181 CP, 310 CPP (CH)</w:t>
      </w:r>
    </w:p>
    <w:p>
      <w:r>
        <w:t>TRIBUNAL CANTONAL 229 PE11.006588-PVU CHAMBRE DES RECOURS PENALE __________________________________________ Séance du 9 juin 2011 ___________________ Présidence de               M. Krieger , président Juges :              Mme Epard et M. Abrecht Greffière :              Mme Brabis ***** Art. 310, 393 ss CPP Vu la plainte déposée le 29 avril 2011 par R.________ contre la V.________ , respectivement le X.________ pour diverses violations des règlements pénitentiaires, pour contrainte, ainsi que pour violations par lesdits règlements de principes issus de la Convention européenne des droits de l'homme (CEDH) et des art. 74, 75 et 83 al. 2 CP (Code pénal suisse du 21 décembre 1937, RS 311.0), vu l’ordonnance du 11 mai 2011, par laquelle le Procureur de l'arrondissement du Nord vaudois a refusé d'entrer en matière et laissé les frais à la charge de l'Etat (dossier n° PE11.006588-PVU ), vu le recours interjeté par R.________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R.________ a déposé plainte le 29 avril 2011 contre la V.________, respectivement le X.________, pour diverses violations des règlements pénitentiaires, pour contrainte, ainsi que pour violation par lesdits règlements de principes issus de la Convention européenne des droits de l'homme (CEDH) et des art. 74, 75 et 83 al. 2 CP (Code pénal suisse du 21 décembre 1937, RS 311.0), que le procureur n'est pas entré en matière sur la plainte de ce dernier, considérant que les éléments constitutifs d'une infraction pénale n'étaient manifestement pas réunis, que R.________ conteste cette décision, qu'il déclare limiter son recours uniquement à la plainte pour contrainte, qu'il allègue qu'une des directives internes de la V.________ ainsi qu'un courrier du 19 janvier 2011 du directeur dudit établissement, dans lesquels il est prévu que les détenus versent des indemnités à leurs victimes ou aux personnes lésées si le jugement condamnatoire le prévoit, sont contraires à l'art. 83 al. 2 CP et constituent une tentative de contrainte;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pour qu'il y ait contrainte au sens de l'art. 181 CP, il faut que le recours à la contrainte soit illicite dans les circonstances d'espèce (Corboz, Les infractions en droit suisse, vol. I, Berne 2010, p. 707; ATF 129 IV 262 c. 2.1), que selon la jurisprudence,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op. cit., p. 707; ATF 129 IV 6 c. 3.4), qu'en l'espèce, il ressort des pièces produites par le recourant que la V.________ n'a fait qu'appliquer la Directive interne no 9 (P. 4/2), que la Directive précitée ne s'applique en outre que si le jugement ayant condamné le prévenu à une peine privative de liberté l'astreint également à verser une indemnité à sa ou ses victimes, que les éléments constitutifs de l'infraction de contrainte ne sont dès lors pas réalisés en l'espèce, qu'en particulier, une éventuelle contrainte ne saurait être considérée comme illicite, le recourant ne faisant que critiquer la Directive susmentionnée et son application qui ne sont pas illicites, que les faits dénoncés n'étant constitutifs d'aucune infraction pénale, c'est à juste titre que le procureur a rendu une ordonnance de non-entrée en matière; attendu que le recours, mal fondé, doit être rejeté et l'ordonnance confirmée, que les frais du présent arrêt,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de R.________. IV. Déclare le présent arrêt exécutoire. Le président :               La greffière : Du L'arrêt qui précède, dont la rédaction a été approuvée à huis clos, est notifié, par l'envoi d'une copie complète, à : - M.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