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229 vom 21. Mai 2007</w:t>
      </w:r>
    </w:p>
    <w:p>
      <w:r>
        <w:t>VD Tribunal cantonal, 2007-05-21, FR</w:t>
      </w:r>
    </w:p>
    <w:p>
      <w:r>
        <w:rPr>
          <w:b/>
        </w:rPr>
        <w:t xml:space="preserve">Quelle: </w:t>
      </w:r>
      <w:r>
        <w:t>https://mcp.opencaselaw.ch/entscheid/vd_findinfo_D_cision___2011___229</w:t>
      </w:r>
    </w:p>
    <w:p>
      <w:r>
        <w:t>FR: VD_FINDINFO Décision / 2011 / 229 du 21 mai 2007</w:t>
      </w:r>
    </w:p>
    <w:p>
      <w:r>
        <w:t>IT: VD_FINDINFO Décision / 2011 / 229 del 21 maggio 2007</w:t>
      </w:r>
    </w:p>
    <w:p>
      <w:pPr>
        <w:pStyle w:val="Heading2"/>
      </w:pPr>
      <w:r>
        <w:t>Regeste</w:t>
      </w:r>
    </w:p>
    <w:p>
      <w:r>
        <w:t>LIBÉRATION CONDITIONNELLE | 86 CP, 87 CP, 26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L'art. 26 al. 2 LEP prévoit que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qu’il satisfait aux conditions de forme posées par l'art. 385 al. 1 CPP et a été déposé par une partie qui a qualité pour recourir. c) Comme exposé ci-dessus, la procédure de recours est régie par les dispositions prévues aux art. 393 ss CPP (cf. art. 38 al. 2 CPP). L’art. 393 al. 2 CPP prévoit que le recours peut être formé pour violation du droit, y compris l’excès et l’abus du pouvoir d’appréciation, le déni de justice et le retard injustifié (let. a), constatation incomplète ou erronée des faits (let. b) et inopportunité (let. c) (cf. Rémy, in: Kuhn/Jeanneret (éd.), Commentaire romand, Code de procédure pénale suisse, Bâle 2011, nn. 15 ss ad art. 393 CPP, p. 1760). En l’espèce, le recourant n’indique pas à quel motif prévu à l’art. 393 al. 2 CPP il se réfère. En particulier, il ne précise pas en quoi la décision serait contraire au droit.</w:t>
      </w:r>
    </w:p>
    <w:p>
      <w:r>
        <w:rPr>
          <w:b/>
        </w:rPr>
        <w:t>E. 2</w:t>
      </w:r>
    </w:p>
    <w:p>
      <w:r>
        <w:t>a) En vertu de l'art. 87 CP, il est imparti au détenu libéré conditionnellement un délai d’épreuve égal à la durée du solde de sa peine. Ce délai est toutefois d’un an au moins et de cinq ans au plus (al. 1). L’autorité d’exécution ordonne, en règle générale, une assistance de probation pour la durée du délai d’épreuve. Elle peut imposer des règles de conduite (al. 2). Le délai d’épreuve imposé en cas de libération conditionnelle doit donc correspondre à la durée du solde de la peine. Néanmoins, ce délai doit impérativement se situer dans une fourchette allant de un à cinq ans (Favre / Pellet / Stoudmann, Code pénal annoté, Lausanne 2007, n. 1.1 ad art. 87 CP, p. 268; Kuhn, in Roth / Moreillon, Commentaire romand, Code pénal I, Bâle 2009, n. 9 ad art. 87 CP, p. 835). b) L’art. 93 al. 1 CP prévoit que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 Selon l’art. 95 CP, avant de statuer sur l’assistance de probation ou les règles de conduite, le juge et l’autorité d’exécution peuvent demander un rapport à l’autorité chargée de l’assistance de probation ou du contrôle des règles de conduite. La personne concernée peut prendre position sur ce rapport. Les avis divergents doivent y être mentionnés (al. 1). Le jugement ou la décision doit fixer et motiver les dispositions sur l’assistance de probation et les règles de conduite (al. 2). c) En l’espèce, le jugement attaqué indique qu’il convient de mettre en place une assistance de probation durant le délai d’épreuve, compte tenu de la situation économique de F.________, ainsi que de ses projets professionnels en tant qu’indépendant (Jgt, p. 6, c. L), Il n’y a pas lieu de remettre en question le principe d’une assistance de probation. En effet, le recourant a eu connaissance du rapport de l’Office d’exécution des peines et a été entendu le 7 avril 2011 par le Président du Collège des Juges d’application des peines notamment sur la question de ladite assistance, alors qu’il était accompagné de son défenseur d’office. Lors de cette audience, l’intéressé a déclaré être d’accord avec le principe d’une assistance de probation. Dans son recours, le recourant a, en outre, expréssement précisé qu’il ne contestait pas le principe d’une telle assistance, mais uniquement la durée fixée, pour le motif qu’il souhaitait s’expatrier. S’agissant de la durée de l’assistance de probation, celle-ci est fixée par la loi. En effet, l’art. 87 al. 2 CP prévoit que l’assistance de probation est ordonnée pour la durée du délai d’épreuve. Le terme « en règle générale » figurant dans cette disposition porte uniquement sur l’assistance elle-même et non sur sa durée. Dans le cas particulier, la durée du délai d’épreuve est de deux ans, quatre mois et deux jours, soit égal à la durée du solde de la peine du recourant, ainsi que l’impose l’art. 87 al. 1 CP. La durée de l’assistance de probation ne prête dès lors pas flanc à la critique. Au vu de ce qui précède, il n’y a pas eu violation du droit, puisque l’art. 87 CP a été respecté. Il n’y a pas eu non plus de constatation incomplète ou erronée des faits. Finalement, les juges s’étant conformés à la loi, ils n’ont pas commis un abus du pouvoir d’appréciation ou une inopportunité (cf. art. 393 al. 2 CPP). Au demeurant, le recourant n’explique pas en quoi la décision serait inopportune au sens précis où l’entend l’art. 393 al. 2 let. c CPP. On ne voit toutefois pas en quoi les premiers juges auraient mésusé de leur pouvoir d’appréciation (cf. Rémy, op. cit., n. 18 ad art. 393 CPP).</w:t>
      </w:r>
    </w:p>
    <w:p>
      <w:r>
        <w:rPr>
          <w:b/>
        </w:rPr>
        <w:t>E. 3</w:t>
      </w:r>
    </w:p>
    <w:p>
      <w:r>
        <w:t>Il résulte de ce qui précède que le recours, manifestement mal fondé, doit être rejeté et le jugement du Collège des Juges d’application des peines du 3 mai 2011 confirmé. Les frais de la procédure de recours, constitués en l’espèce de l’émolument d'arrêt, par 880 fr. (art. 20 al. 1 TFJP [Tarif des frais judiciaires pénaux du 28 septembre 2010,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est confirmé. III. L'indemnité allouée au défenseur d'office de F.________ est fixée à 388 fr. 80 (trois cent huitante-huit francs et huitante centimes). IV. Les frais du présent arrêt, par 880 fr. (huit cent huitante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 Jean Lob, avocat (pour F.________), - Ministère public central, et communiqué à : ‑ Collège des Juges d’application des peines, - Office d’exécution des peines (réf : [...]), - SPOP (secteurs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