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223 vom 12. April 2011</w:t>
      </w:r>
    </w:p>
    <w:p>
      <w:r>
        <w:t>VD Tribunal cantonal, 2011-04-12, FR</w:t>
      </w:r>
    </w:p>
    <w:p>
      <w:r>
        <w:rPr>
          <w:b/>
        </w:rPr>
        <w:t xml:space="preserve">Quelle: </w:t>
      </w:r>
      <w:r>
        <w:t>https://mcp.opencaselaw.ch/entscheid/vd_findinfo_D_cision___2011___223</w:t>
      </w:r>
    </w:p>
    <w:p>
      <w:r>
        <w:t>FR: VD_FINDINFO Décision / 2011 / 223 du 12 avril 2011</w:t>
      </w:r>
    </w:p>
    <w:p>
      <w:r>
        <w:t>IT: VD_FINDINFO Décision / 2011 / 223 del 12 aprile 2011</w:t>
      </w:r>
    </w:p>
    <w:p>
      <w:pPr>
        <w:pStyle w:val="Heading2"/>
      </w:pPr>
      <w:r>
        <w:t>Regeste</w:t>
      </w:r>
    </w:p>
    <w:p>
      <w:r>
        <w:t>CLASSEMENT DE LA PROCÉDURE | 310 CPP (CH), 393 CPP (CH)</w:t>
      </w:r>
    </w:p>
    <w:p>
      <w:pPr>
        <w:pStyle w:val="Heading2"/>
      </w:pPr>
      <w:r>
        <w:t>Volltext</w:t>
      </w:r>
    </w:p>
    <w:p>
      <w:r>
        <w:t>Vaud Tribunal cantonal Cour des assurances sociales 17.05.2011 Décision / 2011 / 223</w:t>
      </w:r>
    </w:p>
    <w:p>
      <w:r>
        <w:t>CLASSEMENT DE LA PROCÉDURE | 310 CPP (CH), 393 CPP (CH)</w:t>
      </w:r>
    </w:p>
    <w:p>
      <w:r>
        <w:t>TRIBUNAL CANTONAL 170 PE11.004849-NPE CHAMBRE DES RECOURS PENALE __________________________________________ Séance du 17 mai 2011 ___________________ Présidence de               M. Krieger , président Juges :              Mmes Epard et Byrde Greffière :              Mme Brabis ***** Art. 310, 393 ss CPP Vu la plainte déposée le 17 mars 2011 par S.________ contre W.________ pour « usurpation d’identité », vu l’ordonnance du 12 avril 2011, par laquelle le Procureur de l'arrondissement de l’Est vaudois a refusé d'entrer en matière et laissé les frais à la charge de l'Etat (dossier n° PE11.004849-NPE ), vu le recours interjeté par S.________ contre cette ordonnance, vu les pièces du dossier; attendu qu'interjeté dans le délai légal (art. 322 al. 2 CPP [Code de procédure pénale suisse du 5 octobre 2007, RS 312.0] par renvoi de l'art. 310 al. 2 et art. 396 al. 1 CPP) et satisfaisant aux conditions de forme (art. 385 al. 1 CPP) contre une décision du Ministère public (art. 393 al. 1 let. a CPP), par le plaignant qui a qualité pour recourir (art. 382 al. 1 CPP), le recours est recevable; attendu que S.________ a déposé plainte le 17 mars 2011 contre W.________ pour « usurpation d’identité », qu’il semble ressortir de cette plainte, qui est difficilement compréhensible, que le plaignant est en litige civil avec W.________, administrateur de la propriété par étages dans laquelle il habite, qu’il a expliqué avoir vu W.________ lors d’une audience dans le cadre du litige civil qui l’oppose à ce dernier ainsi que lors d’une autre audience s’étant déroulée devant le Procureur de l’arrondissement de l’Est vaudois [...], suite à une plainte pénale déposée par le prévenu à son encontre, qu’il soutient que la personne qui s’est présentée comme étant W.________ lors de ces deux audiences n’est pas la personne qui a présidé les assemblées générales de la propriété par étages, que le procureur n'est pas entré en matière sur la plainte de S.________, considérant que les faits dénoncés par le plaignant n’étaient constitutifs d’aucune infraction pénale, que S.________ conteste cette décision ;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qu'en l'espèce, force est de constater que les faits dont se plaint le recourant ne sont constitutifs d’aucune infraction pénale, que même si les faits dénoncés étaient avérés, ils ne pourraient avoir que des conséquences sur le plan civil, que c'est donc à juste titre que le procureur a rendu une ordonnance de non-entrée en matière; attendu que le recours, mal fondé, doit être rejeté et l'ordonnance confirmée, que les frais de la procédure de recours, par 330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du présent arrêt, par 330 fr. (trois cent trente francs), sont mis à la charge de S.________. IV. Déclare le présent arrêt exécutoire. Le président :               La greffière : Du L'arrêt qui précède, dont la rédaction a été approuvée à huis clos, est notifié, par l'envoi d'une copie complète, à : - M. S.________,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