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206 vom 9. Mai 2011</w:t>
      </w:r>
    </w:p>
    <w:p>
      <w:r>
        <w:t>VD Tribunal cantonal, 2011-05-09, FR</w:t>
      </w:r>
    </w:p>
    <w:p>
      <w:r>
        <w:rPr>
          <w:b/>
        </w:rPr>
        <w:t xml:space="preserve">Quelle: </w:t>
      </w:r>
      <w:r>
        <w:t>https://mcp.opencaselaw.ch/entscheid/vd_findinfo_D_cision___2011___206</w:t>
      </w:r>
    </w:p>
    <w:p>
      <w:r>
        <w:t>FR: VD_FINDINFO Décision / 2011 / 206 du 9 mai 2011</w:t>
      </w:r>
    </w:p>
    <w:p>
      <w:r>
        <w:t>IT: VD_FINDINFO Décision / 2011 / 206 del 9 maggio 2011</w:t>
      </w:r>
    </w:p>
    <w:p>
      <w:pPr>
        <w:pStyle w:val="Heading2"/>
      </w:pPr>
      <w:r>
        <w:t>Regeste</w:t>
      </w:r>
    </w:p>
    <w:p>
      <w:r>
        <w:t>RÉCUSATION | 56 CPP (CH)</w:t>
      </w:r>
    </w:p>
    <w:p>
      <w:pPr>
        <w:pStyle w:val="Heading2"/>
      </w:pPr>
      <w:r>
        <w:t>Volltext</w:t>
      </w:r>
    </w:p>
    <w:p>
      <w:r>
        <w:t>Vaud Tribunal cantonal Chambre des recours pénale 09.05.2011 Décision / 2011 / 206</w:t>
      </w:r>
    </w:p>
    <w:p>
      <w:r>
        <w:t>RÉCUSATION | 56 CPP (CH)</w:t>
      </w:r>
    </w:p>
    <w:p>
      <w:r>
        <w:t>TRIBUNAL CANTONAL 144 PE10.024217-VFE CHAMBRE DES RECOURS PENALE __________________________________________ Séance du 9 mai 2011 __________________ Présidence de               M. Krieger , président Juges :              Mmes Epard et Byrde Greffière :              Mme Brabis ***** Art. 56 ss CPP Vu l' enquête n° PE10.024217-VFE instruite par la Procureure de l'arrondissement de Lausanne contre J.________ pour vol, vol d'importance mineure, dommages à la propriété, violation de domicile et contravention à la LStup (Loi fédérale du 3 octobre 1951 sur les stupéfiants et les substances psychotropes, RS 812.121), d'office et sur plainte d' T.________ notamment, vu la demande de récusation en corps du W.________, présentée le 8 avril 2011 par F.________, Premier président du tribunal précité, vu le courrier du 20 avril 2011 de la Procureure de l'arrondissement de Lausanne, vu les déterminations de J.________ du 2 mai 2011, vu les pièces du dossier;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p. 189),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attendu que les conditions d'une récusation selon l'art. 56 let. a à e CPP peuvent être d'emblée écartées en l'espèce, seule pouvant entrer en considération la let. f de ladite disposition,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p. 194), que lorsqu'un motif de récusation au sens de l'art. 56 let. f CPP est invoqué, le litige est tranché sans administration supplémentaire de preuve et définitivement, si un tribunal de première instance est concerné, par la Chambre des recours pénale du Tribunal cantonal (art. 59 al. 1 let. b; art. 13 LVCPP [Loi d'introduction du Code de procédure pénale suisse du 19 mai 2009, RSV 312.01]); qu'en l'espèce, la Procureure du Ministère public de l'arrondissement de Lausanne a renvoyé J.________ devant le W.________ comme accusé de vol, vol d'importance mineure, dommages à la propriété, violation de domicile et contravention à la LStup, que le Premier président du W.________ a demandé, par courrier du 8 avril 2011, la récusation en corps du W.________, pour le motif que l'un des plaignants, T.________, travaille en qualité d'huissier au sein dudit tribunal, qu'T.________ a effectivement déposé une plainte pénale à l'encontre de J.________ pour vol et dommages à la propriété, que les circonstances, soit le fait qu'un des plaignants travaille au sein du W.________, donnent l'apparence d'une prévention et font redouter une activité partiale dudit tribunal, qu'en outre, la Procureure de l'arrondissement de Lausanne et le prévenu J.________ ne se sont pas opposés à la demande de récusation, qu'il convient par conséquent d'admettre la demande de récusation, que la cause est transmise au K.________, que les frais du présent arrêt, par 330 fr. (art. 20 du TFJP [Tarif des frais judiciaires pénaux du 28 septembre 2010, RSV 312.03.1]), sont laissés à la charge de l'Etat. (art. 59 al. 4 CPP). Par ces motifs, la Chambre des recours pénale, statuant à huis clos, prononce : I. La demande de récusation en corps du W.________, présentée le 8 avril 2011 par F.________, est admise. II. La cause est transmise au K.________. III. Les frais du présent arrêt, par 330 fr. (trois cent trente francs), sont laissés à la charge de l'Etat. IV. L'arrêt est exécutoire. Le président :               La greffière : Du L'arrêt qui précède, dont la rédaction a été approuvée à huis clos, est notifié, par l'envoi d'une copie complète, à : - M.Thierry Amy, avocat (pour J.________), - M. T.________, - M. [...] (pour [...]), - [...], - Ministère public central, et communiqué à : ‑ M. F.________, pour le W.________, - Mme la Procureure de l'arrondissement de Lausanne, - K.________,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