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171 vom 4. September 2008</w:t>
      </w:r>
    </w:p>
    <w:p>
      <w:r>
        <w:t>VD Tribunal cantonal, 2008-09-04, FR</w:t>
      </w:r>
    </w:p>
    <w:p>
      <w:r>
        <w:rPr>
          <w:b/>
        </w:rPr>
        <w:t xml:space="preserve">Quelle: </w:t>
      </w:r>
      <w:r>
        <w:t>https://mcp.opencaselaw.ch/entscheid/vd_findinfo_D_cision___2011___171</w:t>
      </w:r>
    </w:p>
    <w:p>
      <w:r>
        <w:t>FR: VD_FINDINFO Décision / 2011 / 171 du 4 septembre 2008</w:t>
      </w:r>
    </w:p>
    <w:p>
      <w:r>
        <w:t>IT: VD_FINDINFO Décision / 2011 / 171 del 4 settembre 2008</w:t>
      </w:r>
    </w:p>
    <w:p>
      <w:pPr>
        <w:pStyle w:val="Heading2"/>
      </w:pPr>
      <w:r>
        <w:t>Regeste</w:t>
      </w:r>
    </w:p>
    <w:p>
      <w:r>
        <w:t>LÉSÉ, VICTIME, PLAIGNANT | 115 CPP (CH), 116 CPP (CH), 117 CPP (CH), 118 CPP (CH), 119 CPP (CH), 393 CPP (CH)</w:t>
      </w:r>
    </w:p>
    <w:p>
      <w:pPr>
        <w:pStyle w:val="Heading2"/>
      </w:pPr>
      <w:r>
        <w:t>Erwägungen</w:t>
      </w:r>
    </w:p>
    <w:p>
      <w:r>
        <w:rPr>
          <w:b/>
        </w:rPr>
        <w:t>E. 1</w:t>
      </w:r>
    </w:p>
    <w:p>
      <w:r>
        <w:t>Aux termes de l’art. 393 al. 1 let. a CPP, le recours est recevable contre les décisions et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interjeté en temps utile, devant l’autorité compétente, par A.P.________ qui a la qualité pour recourir contre une décision du Ministère public refusant de l’admettre à la procédure en qualité de partie plaignante.</w:t>
      </w:r>
    </w:p>
    <w:p>
      <w:r>
        <w:rPr>
          <w:b/>
        </w:rPr>
        <w:t>E. 2</w:t>
      </w:r>
    </w:p>
    <w:p>
      <w:r>
        <w:t>a) Selon l’art. 115 al. 1 CPP, on entend par lésé toute personne dont les droits ont été touchés directement par une infraction. Selon l’art. 116 CPP, on entend par victime le lésé qui, du fait d’une infraction, a subi une atteinte directe à son intégrité physique, psychique ou sexuelle (al. 1) ; on entend par proches de la victime son conjoint, ses enfants, ses père et mère et les autres personnes ayant avec elle des liens analogues (al. 2). Selon l’art. 118 CPP, on entend par partie plaignante le lésé qui déclare expressément vouloir participer à la procédure pénale comme demandeur au pénal ou au civil (al. 1) ; la déclaration doit être faite devant une autorité de poursuite pénale avant la clôture de la procédure préliminaire (al. 2). Les victimes, au sens de l’art. 116 al. 1 CPP, constituent une catégorie particulière de lésés : si les droits du lésé directement touchés par l’infraction peuvent être constitués par n’importe quel bien juridique individuel – par exemple la vie, l’intégrité corporelle, l’honneur –, tels qu’ils sont protégés par la partie spéciale du Code pénal, le statut de victime nécessite en revanche l’atteinte directe à l’un au moins des trois biens juridiques que sont l’intégrité physique, psychique ou sexuelle (Guy-Ecabert, in: Kuhn/Jeanneret (éd.), Commentaire romand, Code de procédure pénale suisse, Bâle 2011, n. 5 ad art. 116 CPP ; Mazzuchelli/Postizzi, in: Niggli/Heer/Wiprächtiger (éd.), Basler Kommentar, Schweizerische Strafprozessordnung, Jugendstrafprozessordnung, Bâle 2011, n. 6 ad art. 116 CPP). b) En cas d’infraction consommée contre la vie, seule la personne décédée était titulaire du bien juridique protégé, de sorte que ses proches ne sont pas des lésés (directs) au sens de l’art. 115 al. 1 CPP, ni des victimes (directes) au sens de l’art. 116 al. 1 CPP (Mazzuchelli/Postizzi, op. cit., n. 49 ad art. 116 CPP). Les proches de la victime, au sens de l’art. 116 al. 2 CPP – soit son conjoint, ses enfants, ses père et mère et les autres personnes ayant avec elle des liens analogues –, sont toutefois considérés comme victimes indirectes et ont à ce titre le droit de se constituer parties plaignantes (cf. art. 118 CPP), aux fins de faire valoir, par adhésion à la procédure pénale, leurs propres conclusions civiles déduites de l’infraction (cf. art. 119 al. 2 let. b CPP), telles que la perte de soutien selon l’art. 45 al. 3 CO et la réparation morale selon l’art. 47 CO (Mazzuchelli/Postizzi, op. cit., n. 11 et 49 ad art. 116 CPP ; cf. Guy-Ecabert, op. cit., n. 13 ad art. 116 CPP ). Lorsque les proches de la victime se portent ainsi parties civiles contre les prévenus (cf. art. 117 al. 3 CPP), ils peuvent également demander la poursuite et la condamnation de la personne pénalement responsable de l’infraction (cf. art. 119 al. 2 let. a CPP ; Mazzuchelli/Postizzi, op. cit., n. 11 ad art. 116 CPP ; cf. Guy-Ecabert, op. cit., n. 19 ad art. 116 CPP). c) Pour acquérir le statut de partie plaignante et donc la qualité de partie (cf. art. 104 al. 1 let. b CPP), les proches de la victime doivent expressément déclarer devant une autorité de poursuite pénale, avant la clôture de la procédure préliminaire (art. 118 al.</w:t>
      </w:r>
    </w:p>
    <w:p>
      <w:r>
        <w:rPr>
          <w:b/>
        </w:rPr>
        <w:t>E. 3</w:t>
      </w:r>
    </w:p>
    <w:p>
      <w:r>
        <w:t>En l’espèce, A.P.________ – dont il a été constaté par jugement du 19 juillet 2010 qu’elle est la fille de A.G.________ – a demandé le 30 septembre 2010 à être admise au procès en qualité de partie civile au sens des art. 93 ss CPP-VD, ce qui selon l’ancien droit impliquait l’acquisition de la qualité de partie au procès pénal (art. 42 CPP-VD) et lui permettait de prendre des conclusions civiles (art. 97 CPP-VD). Au moment de statuer dans sa décision du 14 mars 2011 sur cette requête selon le nouveau droit applicable dès le 1 er janvier 2011 (art. 448 al. 1 CPP), le procureur aurait donc dû comprendre cette requête comme une déclaration expresse de vouloir participer à la procédure pénale comme demanderesse au pénal ou au civil (art. 119 al. 1 CPP ; cf. Mazzuchelli/Postizzi, op. cit., n. 4 ad art. 119 CPP). S’il ne résultait pas clairement de cette déclaration en quelle qualité (demanderesse au civil ou également au pénal) A.P.________ entendait participer à la procédure pénale, le procureur aurait dû l’interpeller en application du principe de la bonne foi (art. 3 al. 2 let. a CPP) et ne pouvait pas d’emblée lui refuser la qualité de partie plaignante (Mazzuchelli/Postizzi, op. cit., n. 4 ad art. 119 CPP), qualité qu’il ne pouvait d’ailleurs pas lui dénier au motif que l’enquête n’avait pas révélé la commission d’une quelconque infraction pénale et qu’elle était sur Ie point d’être clôturée par ordonnance de classement, ne serait-ce qu'en raison de la qualité pour recourir de la partie reconnue comme telle.</w:t>
      </w:r>
    </w:p>
    <w:p>
      <w:r>
        <w:rPr>
          <w:b/>
        </w:rPr>
        <w:t>E. 4</w:t>
      </w:r>
    </w:p>
    <w:p>
      <w:r>
        <w:t>Il résulte de ce qui précède que le recours doit être admis et le chiffre II de la décision attaquée réformé en ce sens que A.P.________ est admise en qualité de partie plaignante. En conséquence, les frais de la procédure de recours, constitués en l’espèce du seul émolument d'arrêt (art. 422 al. 1 CPP), par 660 fr. (art. 20 al. 1 TFJP; RSV 312.03.1), seront laissés à la charge de l’Etat (art. 428 al. 4 CPP). Il n'y a pas lieu de fixer d'indemnité selon l'art. 138 CPP, le conseil de la recourante n'ayant pas requis sa désignation comme conseil d'office dans le cadre de la procédure de recours. Par ces motifs, la Chambre des recours pénale, statuant à huis clos : I. Admet le recours. II. Réforme le chiffre II de l'ordonnance en ce sens que A.P.________ est admise en qualité de partie plaignante. III. Maintient l'ordonnance pour le surplus. IV. Dit que les frais de la procédure de recours, par 660 fr. (six cent soixante francs), sont laissés à la charge de l'Etat. V. Déclare le présent arrêt exécutoire. Le président :               La greffière : Du L'arrêt qui précède, dont la rédaction a été approuvée à huis clos, est notifié, par l'envoi d'une copie complète, à : - M. Jean-Philippe Heim, avocat (pour A.P.________ et B.P.________), - M. Marc-Aurèle Vollenweider, avocat (pour B.G.________), - Mme C.G.________, - Ministère public central; et communiqué à :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