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164 vom 12. März 2011</w:t>
      </w:r>
    </w:p>
    <w:p>
      <w:r>
        <w:t>VD Tribunal cantonal, 2011-03-12, FR</w:t>
      </w:r>
    </w:p>
    <w:p>
      <w:r>
        <w:rPr>
          <w:b/>
        </w:rPr>
        <w:t xml:space="preserve">Quelle: </w:t>
      </w:r>
      <w:r>
        <w:t>https://mcp.opencaselaw.ch/entscheid/vd_findinfo_D_cision___2011___164</w:t>
      </w:r>
    </w:p>
    <w:p>
      <w:r>
        <w:t>FR: VD_FINDINFO Décision / 2011 / 164 du 12 mars 2011</w:t>
      </w:r>
    </w:p>
    <w:p>
      <w:r>
        <w:t>IT: VD_FINDINFO Décision / 2011 / 164 del 12 marzo 2011</w:t>
      </w:r>
    </w:p>
    <w:p>
      <w:pPr>
        <w:pStyle w:val="Heading2"/>
      </w:pPr>
      <w:r>
        <w:t>Regeste</w:t>
      </w:r>
    </w:p>
    <w:p>
      <w:r>
        <w:t>DÉTENTION PRÉVENTIVE, RISQUE DE RÉCIDIVE | 212 al. 3 CPP (CH), 221 CPP (CH), 452 al. 2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et satisfait aux conditions de forme posées par l’art. 385 al. 1 CPP.</w:t>
      </w:r>
    </w:p>
    <w:p>
      <w:r>
        <w:rPr>
          <w:b/>
        </w:rPr>
        <w:t>E. 2</w:t>
      </w:r>
    </w:p>
    <w:p>
      <w:r>
        <w:t>CPP, la détention peut être ordonnée s’il y a sérieusement lieu de craindre qu’une personne passe à l’acte après avoir menacé de commettre un crime grave.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 En l’espèce, le recourant conteste l’existence d’un risque de réitération respectivement de passage à l’acte. Il soutient que « la problématique essentielle in casus ( sic ) gravitant autour des menaces, voire des dommages à la propriété en l’occurrence, la vie des personnes concernées ne saurait être considérée comme sérieusement en danger. Il est essentiel de mettre en balance d’un côté l’atteinte à la liberté personnelle du prévenu, le principe de la présomption d’innocence et le principe de célérité de l’instruction, qui sont des données tout à fait concrètes, et de l’autre, la crainte purement hypothétique de certains plaignants qui se prétendraient en danger ». Cette argumentation est contredite par les pièces du dossier, en particulier par les procès-verbaux d’audition, qui font manifestement craindre un risque concret et sérieux que le recourant, s’il était remis en liberté, compromette sérieusement la sécurité d'autrui en s'en prenant à la vie ou à l'intégrité corporelle de I.________ ou du père de celle-ci, [...], comme il l’a déjà fait et a menacé de le faire. A cet égard, comme l’a relevé à juste titre le Tribunal des mesures de contrainte, les courriers, retenus par le procureur au vu de leur contenu, que V.________ souhaitait envoyer à ses victimes (cf. P. 37 et 39) ne font que renforcer les craintes que l’on peut avoir quant au comportement du recourant s’il devait être remis en liberté. d) Selon l’art. 212 al. 3 CPP, la détention provisoire et la détention pour des motifs de sûreté ne doivent pas durer plus longtemps que la peine privative de liberté prévisible. En l’espèce, au vu des éléments du dossier, il n’apparaît pas à ce stade que la détention provisoire subie depuis le 10 mars 2011 et prolongée pour une durée de trois mois à compter du 9 avril 2011 risque de dépasser la peine de liberté prévisible encourue par le recourant, que celui-ci soit finalement renvoyé devant le Tribunal correctionnel ou qu’il soit jugé par le Tribunal de police, lequel est compétent lorsque la peine encourue n’est pas supérieure à douze mois de peine privative de liberté (art. 8 al. 1 let. b LVCPP). e) Selon l’art. 212 al. 2 let. b CPP, la détention provisoire doit être levée dès que des mesures de substitution (cf. art. 237 ss CPP) permettent d’atteindre le même but. En l’espèce, force est de constater, à l’instar du Tribunal des mesures de contrainte, que la mesure de substitution proposée par le recourant, consistant à ordonner son retour au Foyer [...], ne permet pas, contrairement à la détention provisoire, de parer au risque de réitération respectivement au risque de passage à l’acte. On rappelle en effet qu’au moment où il a commis les actes qui lui sont reprochés, le recourant était déjà sous le coup d’une mesure institutionnelle, au sens de l’art. 59 CP, qu’il exécutait depuis plus d’une année au sein du Foyer [...]. En outre, il résulte d’un courrier adressé le 30 mars 2011 au défenseur d’office du recourant par le directeur de la Fondation [...] (P. 4 du bordereau des pièces produites par V.________ à l’appui de son recours), que l’Office d’exécution des peines s’apprêtait à saisir le Juge d’application des peines avec un préavis de révocation de la mesure institutionnelle et que la chambre du recourant au Foyer [...] n’est dans les faits plus financée par cet office depuis le 21 mars 2011. f) C’est à tort que le recourant reproche au Tribunal des mesures de contrainte, dans un grief d’ordre formel, de n’avoir pas ordonné une audience malgré sa réquisition expresse en ce sens (recours, p. 4-5). En effet, l’art. 227 al. 6 CPP prévoit que la procédure de prolongation de la détention provisoire se déroule par écrit, le Tribunal des mesures de contrainte pouvant toutefois ordonner la tenue d’une audience. Ainsi, contrairement à ce qui est le cas lorsque le Tribunal des mesures de contrainte doit statuer sur une requête du Ministère public tendant à ordonner la détention provisoire initiale (cf. art. 225 al. 5 CPP) ou sur une demande de libération de la détention provisoire (cf. art. 228 al. 4 CPP), le prévenu n’a pas de droit à une audience orale, que le Tribunal peut ordonner exceptionnellement lorsqu’il le juge nécessaire (Marc Forster, in Niggli/Heer/Wiprächtiger (éd.), Basler Kommentar, Schweizerische Strafprozess-ordnung, 2011, n. 13 ad art. 227 CPP). g) Enfin, c’est également à tort que le recourant reproche au Tribunal des mesures de contrainte, dans un second grief d’ordre formel, une violation de la maxime d’office de l’instruction, une appréciation arbitraire des éléments du dossier et une motivation insuffisante, s’agissant d’une part de la gravité des infractions et d’autre part      de la mesure de substitution proposée (recours, p. 5-8). En effet, le fait que le Tribunal des mesures de contrainte ait relevé ne disposer d’aucune information sur le point de savoir si les débats qui seraient fixés prochainement auraient lieu devant le Tribunal de police ou le Tribunal correctionnel ne l’empêchait pas d’apprécier en connaissance de cause la proportionnalité de la détention provisoire (cf. c. 2d supra). Par ailleurs, le Tribunal des  mesures de contrainte a dûment examiné la mesure de substitution proposée par le recourant et a conclu, à juste titre, qu’elle ne permettait pas de parer au risque de réitération respectivement au risque de passage à l’acte (cf. c. 2e supra).</w:t>
      </w:r>
    </w:p>
    <w:p>
      <w:r>
        <w:rPr>
          <w:b/>
        </w:rPr>
        <w:t>E. 3</w:t>
      </w:r>
    </w:p>
    <w:p>
      <w:r>
        <w:t>Il résulte de ce qui précède que le recours, mal fondé, doit être rejeté sans autres échanges d’écritures (art. 390 al. 2 CPP). Vu l’issue du recours, les frais de la procédure de recours, constitués en l’espèce des émoluments du présent arrêt (art. 422 al. 1 CPP), par 990 fr. (art. 20 al. 1 TFJP; RSV 312.03.1), des frais de la décision provisionnelle du 21 avril 2011, par 330 fr.,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due au défenseur d'office de V.________. IV. Dit que les frais de procédure, par 1'320 fr. (mille trois cent vingt francs), ainsi que l'indemnité due au défenseur d'office de V.________, par 583 fr. 20 (cinq cent huitante-trois francs et vingt centimes), sont mis à la charge de ce dernier. V. Dit que le remboursement à l'Etat de l'indemnité allouée au chiffre III ci-dessus sera exigible pour autant que la situation économique de V.________ se soit améliorée. VI. Déclare le présent arrêt exécutoire. Le président :               Le greffier : Du L'arrêt qui précède, dont la rédaction a été approuvée à huis clos, est notifié, par l'envoi d'une copie complète, à : - M. Samuel Pahud, avocat (pour V.________), - Ministère public central. et communiqué à : ‑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