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147 vom 15. April 2011</w:t>
      </w:r>
    </w:p>
    <w:p>
      <w:r>
        <w:t>VD Tribunal cantonal, 2011-04-15, FR</w:t>
      </w:r>
    </w:p>
    <w:p>
      <w:r>
        <w:rPr>
          <w:b/>
        </w:rPr>
        <w:t xml:space="preserve">Quelle: </w:t>
      </w:r>
      <w:r>
        <w:t>https://mcp.opencaselaw.ch/entscheid/vd_findinfo_D_cision___2011___147</w:t>
      </w:r>
    </w:p>
    <w:p>
      <w:r>
        <w:t>FR: VD_FINDINFO Décision / 2011 / 147 du 15 avril 2011</w:t>
      </w:r>
    </w:p>
    <w:p>
      <w:r>
        <w:t>IT: VD_FINDINFO Décision / 2011 / 147 del 15 aprile 2011</w:t>
      </w:r>
    </w:p>
    <w:p>
      <w:pPr>
        <w:pStyle w:val="Heading2"/>
      </w:pPr>
      <w:r>
        <w:t>Regeste</w:t>
      </w:r>
    </w:p>
    <w:p>
      <w:r>
        <w:t>DÉTENTION PRÉVENTIVE, RISQUE DE RÉCIDIVE | 212 CPP (CH), 221 CPP (CH), 237 CPP (CH), 393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devant l’autorité compétente et satisfait aux conditions de forme posées par l’art. 385 al. 1 CPP.</w:t>
      </w:r>
    </w:p>
    <w:p>
      <w:r>
        <w:rPr>
          <w:b/>
        </w:rPr>
        <w:t>E. 2</w:t>
      </w:r>
    </w:p>
    <w:p>
      <w:r>
        <w:t>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aI.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ème éd., Zurich 2006, n. 841); d’autre part, il doit exister un risque sérieux que l’une des trois hypothèses prévues à l’art. 221 al. 1 let. a à c CPP se concrétise (Message du Conseil fédéral, FF 2006 p. 1057 ss, 1210). c) En outre, en application du principe de proportionnalité posé par l’art. 197 al. 1 let. c CPP — aux termes duquel les mesures de contrainte ne peuvent être prises que si les buts poursuivis ne peuvent pas être atteints par des mesures moins sévères —, l’art. 212 al. 2 let. c CPP prévoit que les mesures de contrainte entraînant une privation de liberté doivent être levées dès que des mesures de substitution permettent d’atteindre le même but. A cet égard,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Selon l’art. 237 al. 1 CPP,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w:t>
      </w:r>
    </w:p>
    <w:p>
      <w:r>
        <w:rPr>
          <w:b/>
        </w:rPr>
        <w:t>E. 3</w:t>
      </w:r>
    </w:p>
    <w:p>
      <w:r>
        <w:t>En l’espèce, comme déjà mentionné ci-dessus, le recourant ne conteste pas l’existence de charges suffisantes à son encontre (cf. art. 221 al. 1 CPP), ni ne soutient que la détention provisoire devrait être levée parce que la durée déjà subie s’approcherait de celle de la peine privative de liberté prévisible (cf. art. 212 al. 3 CPP). En revanche, il fait valoir que des mesures de substitution seraient suffisantes pour parer à un éventuel risque de récidive (cf. art. 237 al. 1 CPP). En l'occurrence, il convient tout d'abord d'admettre avec le Tribunal des mesures de contrainte que le risque de récidive est concret, dans la mesure où les condamnations antérieures n'ont suscité aucune prise de conscience, le recourant persistant à commettre des actes de violence à l'encontre de son épouse. S'agissant ensuite des mesures de substitution, on ne saurait considérer qu'elles permettraient, à ce stade, d’atteindre le même but de protection de la sécurité d’autrui que la détention préventive. Il est en effet difficile d'accorder beaucoup de crédit aux déclarations du recourant, lorsqu'il dit "Je sais que j'ai fait quelque chose de pas bien" (cf. PV aud. 2, p. 3), dès lors qu'il reporte toujours la responsabilité de ses actes sur des circonstances extérieures. En particulier, on peut actuellement douter de sa volonté de "faire ce qu'il faut pour arrêter l'alcool" (cf. PV aud. 2, p. 2). En effet, il n'apparaît pas qu'il ait réellement pris conscience de son problème d'addiction. D'une part, il estime qu'il n'est pas du tout alcoolique et reporte encore une fois la faute sur son épouse, laquelle l'aurait incité à boire, après six mois d'abstinence (ibid.). D'autre part, il n'a entrepris aucune démarche personnelle en vue de faire face à ses problèmes et persiste à vouloir retourner vivre avec son épouse, considérant qu'une "petite séparation" leur permettrait de se remettre ensemble (ibid.). Dans ces circonstances, il est dès lors prématuré d'affirmer que des mesures de substitution, telles qu'une interdiction de périmètre et de contact, ainsi qu'un contrôle d'abstinence pourraient diminuer le risque de récidive et seraient dès lors susceptibles d'atteindre le même but que la détention. Il sera toutefois possible d'envisager une mise en liberté du recourant, dès que celui-ci aura adhéré à des mesures concrètes de prévention de nouveaux actes délictueux, notamment à un suivi à long terme de l'abstinence alcoolique. Au vu de l'ensemble des considérations qui précèdent, c'est à bon droit que le Tribunal des mesures de contrainte a ordonné la détention provisoire du recourant.</w:t>
      </w:r>
    </w:p>
    <w:p>
      <w:r>
        <w:rPr>
          <w:b/>
        </w:rPr>
        <w:t>E. 4</w:t>
      </w:r>
    </w:p>
    <w:p>
      <w:r>
        <w:t>En définitive, le recours est rejeté et l'ordonnance de détention provisoire confirmée. L'indemnité allouée à Me Chappuis, défenseur d'office de Q.________, est fixée à 360 fr., plus la TVA, soit un total de 388 fr. 80, et celle allouée à Me Genillod, conseil d'office de C.________, est fixée à 270 fr., plus la TVA, soit un total de 291 fr. 60. Les frais de la procédure de recours, constitués en l'espèce de l'émolument d'arrêt (art. 422 al. 1 CPP), par 880 fr. (art. 20 al. 1 TFJP; RSV 312.03.1), ainsi que des frais précités imputables à la défense d'office et à l'assistance gratuite (art. 422 al. 1 et 2 let. a CPP), sont mis à la charge du recourant, qui succombe (art. 428 al. 1 CPP). Le remboursement à l'Etat de l'indemnité allouée au défenseur d'office du recourant et celle allouée au conseil d'office de l'intimée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à Me Chappuis, défenseur d'office de Q.________. IV. Fixe à 291 fr. 60 (deux cent nonante et un francs et soixante centimes) l'indemnité allouée à Me Genillod, conseil d'office de C.________. V. Dit que l'émolument d'arrêt, par 880 fr. (huit cent huitante francs), l'indemnité due à Me Chappuis, par 388 fr. 80 (trois cent huitante-huit francs et huitante centimes), ainsi que l'indemnité due à Me Genillod, par 291 fr. 60 (deux cent nonante et un francs et soixante centimes), sont mis à la charge de Q.________. VI. Dit que le remboursement à l'Etat des indemnités allouées aux chiffres III et IV ci-dessus sera exigible pour autant que la situation économique de Q.________ se soit améliorée. VII. Déclare le présent arrêt exécutoire. Le président :               La greffière : Du L'arrêt qui précède, dont la rédaction a été approuvée à huis clos, est notifié, par l'envoi d'une copie complète, à : - Mme Tiphanie Chappuis, avocate (pour Q.________), - M. Matthieu Genillod, avocat (pour C.________), - Ministère public central; et communiqué à : ‑ Tribunal des mesures de contrainte, -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