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145 vom 30. März 2011</w:t>
      </w:r>
    </w:p>
    <w:p>
      <w:r>
        <w:t>VD Tribunal cantonal, 2011-03-30, FR</w:t>
      </w:r>
    </w:p>
    <w:p>
      <w:r>
        <w:rPr>
          <w:b/>
        </w:rPr>
        <w:t xml:space="preserve">Quelle: </w:t>
      </w:r>
      <w:r>
        <w:t>https://mcp.opencaselaw.ch/entscheid/vd_findinfo_D_cision___2011___145</w:t>
      </w:r>
    </w:p>
    <w:p>
      <w:r>
        <w:t>FR: VD_FINDINFO Décision / 2011 / 145 du 30 mars 2011</w:t>
      </w:r>
    </w:p>
    <w:p>
      <w:r>
        <w:t>IT: VD_FINDINFO Décision / 2011 / 145 del 30 marzo 2011</w:t>
      </w:r>
    </w:p>
    <w:p>
      <w:pPr>
        <w:pStyle w:val="Heading2"/>
      </w:pPr>
      <w:r>
        <w:t>Regeste</w:t>
      </w:r>
    </w:p>
    <w:p>
      <w:r>
        <w:t>DÉTENTION PRÉVENTIVE, MENACE{DROIT PÉNAL}, MENACE{EN GÉNÉRAL} | 221 al. 2 CPP (CH), 393 al. 1 let. c CPP (CH)</w:t>
      </w:r>
    </w:p>
    <w:p>
      <w:pPr>
        <w:pStyle w:val="Heading2"/>
      </w:pPr>
      <w:r>
        <w:t>Volltext</w:t>
      </w:r>
    </w:p>
    <w:p>
      <w:r>
        <w:t>Vaud Tribunal cantonal Chambre des recours pénale 15.04.2011 Décision / 2011 / 145</w:t>
      </w:r>
    </w:p>
    <w:p>
      <w:r>
        <w:t>DÉTENTION PRÉVENTIVE, MENACE{DROIT PÉNAL}, MENACE{EN GÉNÉRAL} | 221 al. 2 CPP (CH), 393 al. 1 let. c CPP (CH)</w:t>
      </w:r>
    </w:p>
    <w:p>
      <w:r>
        <w:t>TRIBUNAL CANTONAL 101 PE11.001602-MRN CHAMBRE DES RECOURS PENALE __________________________________________ Séance du 15 avril 2011 __________________ Présidence de               M. Krieger , président Juges :              Mme Epard et M. Abrecht Greffière :              Mme de Watteville ***** Art. 221 al. 2, 393 al. 1 let. c CPP Vu l' enquête n° PE11.001602-MRN instruite d'office et sur plainte par la Procureure de l'arrondissement du Nord vaudois contre A.T.________ pour lésions corporelles simples, lésions corporelles simples qualifiées, vol commis au préjudice de proches ou de familiers, dommages à la propriété, injure, menaces, tentative de remise à des enfants de substances nocives, tentative de viol subsidiairement tentative de contrainte sexuelle et contravention à la LStup (Loi fédérale du 3 octobre 1952 sur les stupéfiants et les substances psychotropes, RS 812.121), vu l'ordonnance du 30 mars 2011 par laquelle le Tribunal des mesures de contrainte a ordonné la prolongation de la détention provisoire de A.T.________ à compter du 4 avril 2011 (I) et dit que les frais de la décision, par 300 fr., suivaient le sort de la cause (II), vu le recours interjeté en temps utile par A.T.________ contre cette décision, vu les pièces du dossier, comprenant celui constitué par le Procureur de l'arrondissement du Nord vaudois et celui du Tribunal des mesures de contrainte;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20 al. 1 let. c CPP et 13 LVCPP [Loi vaudoise d'introduction du Code de procédure pénale suisse, RSV 312.01]), la décision litigieuse n'étant pas susceptible d'appel (art. 398 al. 1 CPP), que déposé dans le délai de dix jours de l'art. 396 al. 1 CPP, le recours est recevable; attendu que l’art. 212 al. 1 CPP pose le principe que le prévenu reste en liberté et qu'il ne peut être soumis à des mesures de contrainte entraînant une privation de liberté que dans les limites des dispositions du code, que l'art. 221 al. 2 CPP prévoit que la détention peut être ordonnée s'il y a sérieusement lieu de craindre qu'une personne passe à l'acte après avoir menacé de commettre un crime grave, qu'une détention ordonnée en application de ce motif a donc pour objectif d'éviter la concrétisation d'un crime ou d'un délit, que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(Schmocker, in Kuhn/Jeanneret, Commentaire romand, Code de procédure pénale suisse, 2011, n. 22 ad art. 221 CPP et la jur. cit., p. 1029), qu'en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p. 1029), qu'en l'espèce, le recourant, en manque de stupéfiants, a, à plusieurs reprises, tenté de faire pression sur ses proches pour obtenir des liquidités afin de se procurer de la drogue, que face à leur refus, il s'en serait pris physiquement et sans discernement aux membres de sa famille en les frappant violemment, qu'il aurait notamment frappé son neveu âgé de deux ans en lui donnant un coup de poing sur le nez et au visage, qu'il aurait menacé sa mère avec un couteau de cuisine en lui disant "qu'il voulait [la] tuer et [lui] couper la gorge" (P. 4), qu'il paraît vraisemblable qu'il ait également proféré des menaces de mort et de viol ou de contrainte sexuelle sur la personne de sa mère et de ses sœurs, que le recourant aurait également déjà essayé d'enlever la culotte d'une de ses jeunes sœurs et ainsi vu ses parties intimes en lui disant "regarde comme ta chatte est jolie" (PV. aud. 6), que ces faits présentent un certain degré de gravité à ne pas sous-estimer, qu'en outre, il n'est pas contesté que le recourant souffre d'une sévère addiction aux stupéfiants et ne dispose pas des moyens financiers permettant de la satisfaire, qu'au vu de ces éléments, il existe un risque très élevé que A.T.________ perde tout contrôle de lui-même et mette ses menaces à exécution, qu'en conséquence, les conditions du maintien en détention selon l'art. 221 al. 2 CPP sont réalisées; attendu que le recourant sollicite des mesures de substitution telles que la prise journalière contrôlée de la médication prescrite par le Service de médecine et psychiatrie pénitentiaires auprès d'une pharmacie ou d'un médecin, la présentation quotidienne du recourant auprès d'un poste de police, muni d'une attestation de la prise de médication susmentionnée, et cas échéant, une interdiction de périmètre autour du domicile de sa mère,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in Kuhn/Jeanneret (éd.), Commentaire romand, Code de procédure pénale suisse, Bâle 2011,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le recourant devant donc être fortement soupçonné d'avoir commis un crime ou délit et l'autorité devant craindre que celui-ci prenne la fuite, récidive, fasse obstacle à la recherche de la vérité ou mette ses menaces à exécution (Schmocker, op. cit., n. 5 ad art. 237 CPP, p. 1100), qu'en l'espèce, il ressort des pièces versées au dossier de l'instruction qu'il existe des indices concrets que le recourant ait commis les infractions pour lesquelles il est soupçonné, que comme vu auparavant, il existe un risque élevé que le recourant mette ses menaces à exécution, que lorsqu'il habitait chez sa mère, le recourant était déjà suivi par un médecin du Centre professionnel du Nord vaudois, qu'il recevait un traitement sous forme liquide mais qu'il l'aurait régulièrement reversé dans les toilettes ou revendu (P. 4), que, dans ces circonstances, les mesures de substitution proposées par le recourant ne paraissent pas propre à empêcher celui-ci de consommer de la drogue et de mettre ses menaces à exécution, qu'en outre, il appartient au recourant d'effectuer les démarches nécessaires pour son acceptation à la Fondation du Levant s'il souhaite y entreprendre un traitement volontaire à terme, qu'en conséquence, c'est à bon droit que l'autorité intimée a considéré que les mesures de substitution proposées par le recourant ne pouvaient pas être ordonnées en l'état du dossier; attendu que le recourant requiert également des mesures d'instruction, notamment l'audition de témoins et la production de l'intégralité du dossier médical du recourant afin de motiver les mesures de substitution demandées, qu'au vu de ce qui précède, les mesures d'instruction requises ne sont pas nécessaires, une mesure de substitution n'étant pas envisageable en l'état, qu'au demeurant, une expertise psychiatrique requise par le procureur est actuellement en cours afin de déterminer le risque de passage à l'acte des graves menaces proférées et les éventuelles mesures à prendre, qu'une fois les résultats de l'expertise psychiatrique connus, des mesures de substitution pourront éventuellement être réexaminées; attendu que le maintien en détention du recourant respecte le principe de proportionnalité eu égard à la peine encourue par celui-ci et à la durée de la détention (ATF 133 I 168 c. 4.1; ATF 132 I 21 c. 4.1; ATF 128 I 149 c. 2.2; ATF 126 I 172 c. 5a); attendu, en définitive, que le recours, manifestement mal fondé, est rejeté sans autres échanges d'écritures (art. 390 al. 2 CPP) et l'ordonnance confirmée, que les frais de la procédure de recours, constitués en l'espèce des émoluments du présent arrêt (art. 422 al. 1 CPP), par 660 fr. (art. 20 al. 1 TFJP, RSV 312.03.1) et des frais imputables à la défense d'office (art. 422 al. 1 et 2 let. a CPP) fixés à 540 fr., plus la TVA, par 43 fr. 20, soit un total de 583 fr. 20, sont mis à la charge du recourant qui succombe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 trois francs et vingt centimes) l'indemnité allouée au défenseur d'office de A.T.________, IV. Dit que les frais d'arrêt, par 660 fr. (six cent soixante francs), ainsi que l'indemnité due au défenseur d'office, par 583 fr. 20 (cinq cent huitante trois francs et vingt centimes), sont mis à la charge de A.T.________, V. Dit que le remboursement à l'Etat de l'indemnité allouée au chiffre III ci-dessus sera exigible pour autant que la situation économique de A.T.________ se soit améliorée. VI. Déclare le présent arrêt exécutoire. Le président :               La greffière : Du L'arrêt qui précède, dont la rédaction a été approuvée à huis clos, est notifié, par l'envoi d'une copie complète, à : - M. Bertrand Demierre, avocat (pour A.T.________), - Ministère public central et communiqué à : ‑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