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134 vom 11. April 2011</w:t>
      </w:r>
    </w:p>
    <w:p>
      <w:r>
        <w:t>VD Tribunal cantonal, 2011-04-11, FR</w:t>
      </w:r>
    </w:p>
    <w:p>
      <w:r>
        <w:rPr>
          <w:b/>
        </w:rPr>
        <w:t xml:space="preserve">Quelle: </w:t>
      </w:r>
      <w:r>
        <w:t>https://mcp.opencaselaw.ch/entscheid/vd_findinfo_D_cision___2011___134</w:t>
      </w:r>
    </w:p>
    <w:p>
      <w:r>
        <w:t>FR: VD_FINDINFO Décision / 2011 / 134 du 11 avril 2011</w:t>
      </w:r>
    </w:p>
    <w:p>
      <w:r>
        <w:t>IT: VD_FINDINFO Décision / 2011 / 134 del 11 aprile 2011</w:t>
      </w:r>
    </w:p>
    <w:p>
      <w:pPr>
        <w:pStyle w:val="Heading2"/>
      </w:pPr>
      <w:r>
        <w:t>Regeste</w:t>
      </w:r>
    </w:p>
    <w:p>
      <w:r>
        <w:t>RETRAIT{VOIE DE DROIT}, MOYEN DE DROIT, RADIATION DU RÔLE | 94 al. 1 let. c LPA-VD</w:t>
      </w:r>
    </w:p>
    <w:p>
      <w:pPr>
        <w:pStyle w:val="Heading2"/>
      </w:pPr>
      <w:r>
        <w:t>Volltext</w:t>
      </w:r>
    </w:p>
    <w:p>
      <w:r>
        <w:t>Vaud Tribunal cantonal Cour des assurances sociales 11.04.2011 Décision / 2011 / 134</w:t>
      </w:r>
    </w:p>
    <w:p>
      <w:r>
        <w:t>RETRAIT{VOIE DE DROIT}, MOYEN DE DROIT, RADIATION DU RÔLE | 94 al. 1 let. c LPA-VD</w:t>
      </w:r>
    </w:p>
    <w:p>
      <w:r>
        <w:t>TRIBUNAL CANTONAL AA 93/10 - 43/2011 COUR DES ASSURANCES SOCIALES _____________________________________________ Décision du 11 avril 2011 __________________ Présidence de               Mme Thalmann , juge unique Greffière :              Mme Trachsel ***** Cause pendante entre : Y.________ , à La Tour-de-Peilz, demandeur, et Caisse nationale suisse d'assurances en cas d'accidents (SUVA) , à Lucerne, défenderesse, _______________ Art. 94 al. 1 let. c LPA-VD Vu la demande de révision des décisions de la Caisse nationale suisse d'assurances en cas d'accidents (SUVA) (ci-après : la caisse) des 14 et 15 juin 1999 et du jugement rendu le 7 septembre 2000 par le Tribunal des assurances, adressée à la caisse par Y.________, le 4 septembre 2010, vu le courrier du 15 octobre 2010, par lequel la caisse transmet cette demande à la Cour des assurances sociales du Tribunal cantonal comme objet de sa compétence, vu les déterminations de la caisse du 22 décembre 2010, vu la déclaration de retrait de la demande adressée à la cour de céans par Y.________, le 4 avril 2011, vu les pièces du dossier ; considérant qu’il y a lieu de rayer la cause du rôle par suite de retrait de la demande,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de la demande. II. Il n’est pas perçu de frais judiciaires ni alloué de dépens. Le juge unique :               La greffière : Du La décision qui précède est notifiée à : ‑ Y.________, ‑ Caisse nationale suisse d'assurances en cas d'accidents (SUVA),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