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115 vom 14. März 2011</w:t>
      </w:r>
    </w:p>
    <w:p>
      <w:r>
        <w:t>VD Tribunal cantonal, 2011-03-14, FR</w:t>
      </w:r>
    </w:p>
    <w:p>
      <w:r>
        <w:rPr>
          <w:b/>
        </w:rPr>
        <w:t xml:space="preserve">Quelle: </w:t>
      </w:r>
      <w:r>
        <w:t>https://mcp.opencaselaw.ch/entscheid/vd_findinfo_D_cision___2011___115</w:t>
      </w:r>
    </w:p>
    <w:p>
      <w:r>
        <w:t>FR: VD_FINDINFO Décision / 2011 / 115 du 14 mars 2011</w:t>
      </w:r>
    </w:p>
    <w:p>
      <w:r>
        <w:t>IT: VD_FINDINFO Décision / 2011 / 115 del 14 marzo 2011</w:t>
      </w:r>
    </w:p>
    <w:p>
      <w:pPr>
        <w:pStyle w:val="Heading2"/>
      </w:pPr>
      <w:r>
        <w:t>Regeste</w:t>
      </w:r>
    </w:p>
    <w:p>
      <w:r>
        <w:t>OPPORTUNITÉ, DÉFENSE D'OFFICE | 133 CPP (CH), 393 al. 2 let. c CPP (CH)</w:t>
      </w:r>
    </w:p>
    <w:p>
      <w:pPr>
        <w:pStyle w:val="Heading2"/>
      </w:pPr>
      <w:r>
        <w:t>Volltext</w:t>
      </w:r>
    </w:p>
    <w:p>
      <w:r>
        <w:t>Vaud Tribunal cantonal Chambre des recours civile 01.04.2011 Décision / 2011 / 115</w:t>
      </w:r>
    </w:p>
    <w:p>
      <w:r>
        <w:t>OPPORTUNITÉ, DÉFENSE D'OFFICE | 133 CPP (CH), 393 al. 2 let. c CPP (CH)</w:t>
      </w:r>
    </w:p>
    <w:p>
      <w:r>
        <w:t>TRIBUNAL CANTONAL 84 PE11.000447-BEB CHAMBRE DES RECOURS PENALE __________________________________________ Séance du 1er avril 2011 __________________ Présidence de               M. Krieger , président Juges :              M. Abrecht et Mme Byrde Greffière :              Mme Mirus ***** Art. 133, 393 al. 2 let. c CPP Vu l' enquête n° PE11.000447-BEB instruite d'office par le Ministère public de l'arrondissement de Lausanne contre N.________ pour infraction grave à la loi fédérale sur les stupéfiants, vu l'ordonnance du 14 mars 2011, par laquelle le procureur a désigné L.________ , avocat, en qualité de défenseur d'office de N.________, vu le recours interjeté en temps utile par L.________ contre cette décision, vu les pièces du dossier; attendu que la décision du Ministère public désignant un défenseur d'office peut faire l'objet d'un recours (Ruckstuhl, in: Niggli/Heer/Wiprächtiger, Basler Kommentar, Schweizerische Strafprozessordnung, Jugendstrafprozessordnung, Bâle 2011, n. 5 ad art. 133 CPP, pp. 899 s. et les références citées), qu'en effet, tant le prévenu que le défenseur d'office désigné peuvent avoir un intérêt juridiquement protégé à recourir (ibid.),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qu'en l'espèce, L.________ est intervenu dans la cause PE11.000447-BEB, en qualité d'avocat de la première heure, afin d'assister N.________, que par ordonnance du 14 mars 2011, le procureur l'a nommé comme avocat d'office du prévenu précité, que par courrier du 14 mars 2011, L.________ a demandé au ministère public de bien vouloir désigner son associé [...] comme défenseur d'office de N.________ (P. 38), que par courrier du 16 mars 2011, le procureur a refusé de faire droit à la requête de L.________ (P. 39), qu'il a expliqué que d'une part, il avait déjà nommé L.________ comme défenseur d'office pour la suite de la procédure, selon décision du 14 mars 2011, que d'autre part, ce dernier ne faisait valoir aucun motif de révocation au sens de l'art. 134 CPP (ibid.), que L.________ conteste l'ordonnance du 14 mars 2011, qu'il invoque l'inopportunité de cette décision au sens de l'art. 393 al. 2 let. c CPP, qu'il fait en effet valoir qu'il serait plus rationnel dans l'organisation de leur étude que ce soit son associé, domicilié à Lausanne, qui assiste le prévenu, plutôt que lui, qui est domicilié à Nyon; attendu que d'après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2002, p. 667 ; Rémy, in: Kuhn/Jeanneret (éd.), Commentaire romand, Code de procédure pénale suisse, 2011, n. 18 ad art. 393 CPP, p. 1760 ; Stephenson/Thiriet, in: Niggli/Heer/Wiprächtiger (éd.), Basler Kommentar, Schweizerische Strafprozessordnung, 2011, n. 17 ad art. 393 CPP, pp. 2622-2623 et les références citées), qu'en l'espèce, l'argument invoqué par le recourant n'établit pas que la décision est inopportune, qu'en effet, lorsque le ministère public a rendu sa décision, il ignorait qu'un autre avocat de la même étude était disposé à être désigné comme défenseur d'office de N.________, qu'en outre, à supposer que le procureur ait eu le choix entre plusieurs avocats, il n'aurait pas mésusé de son pouvoir d'appréciation en désignant L.________, qui avait déjà eu un contact avec le prévenu et connaissait dès lors une partie des faits de la cause, qu'enfin, il ne ressort pas du dossier que N.________ ait émis un avis négatif à propos de L.________, que la décision entreprise n’a donc pas violé le principe d’opportunité au sens de l'art. 393 al. 2 let. c CPP, qu'au surplus, si L.________ souhaite révoquer son mandat pour les motifs évoqués à l'art. 134 al. 2 CPP, il lui appartiendra de former une requête dans ce sens auprès de la direction de la procédure; attendu, en définitive, que le recours, mal fondé, doit être rejeté sans autres échanges d’écritures (art. 390 al. 2 CPP), que les frais de la procédure de recours, constitués en l’espèce des émoluments du présent arrêt (art. 422 al. 1 CPP), par 440 fr. (art. 20 al. 1 TFJP; RSV 312.03.1), sont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du recourant. IV. Déclare le présent arrêt exécutoire. Le président :               La greffière : Du L'arrêt qui précède, dont la rédaction a été approuvée à huis clos, est notifié, par l'envoi d'une copie complète, à : - M. L.________, avocat, - M. N.________,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