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72 vom 6. Mai 2010</w:t>
      </w:r>
    </w:p>
    <w:p>
      <w:r>
        <w:t>VD Tribunal cantonal, 2010-05-06, FR</w:t>
      </w:r>
    </w:p>
    <w:p>
      <w:r>
        <w:rPr>
          <w:b/>
        </w:rPr>
        <w:t xml:space="preserve">Quelle: </w:t>
      </w:r>
      <w:r>
        <w:t>https://mcp.opencaselaw.ch/entscheid/vd_findinfo_D_cision___2010___72</w:t>
      </w:r>
    </w:p>
    <w:p>
      <w:r>
        <w:t>FR: VD_FINDINFO Décision / 2010 / 72 du 6 mai 2010</w:t>
      </w:r>
    </w:p>
    <w:p>
      <w:r>
        <w:t>IT: VD_FINDINFO Décision / 2010 / 72 del 6 maggio 2010</w:t>
      </w:r>
    </w:p>
    <w:p>
      <w:pPr>
        <w:pStyle w:val="Heading2"/>
      </w:pPr>
      <w:r>
        <w:t>Regeste</w:t>
      </w:r>
    </w:p>
    <w:p>
      <w:r>
        <w:t>TRANSACTION{ACCORD}, RADIATION DU RÔLE | 94 al. 1 let. c LPA-VD</w:t>
      </w:r>
    </w:p>
    <w:p>
      <w:pPr>
        <w:pStyle w:val="Heading2"/>
      </w:pPr>
      <w:r>
        <w:t>Volltext</w:t>
      </w:r>
    </w:p>
    <w:p>
      <w:r>
        <w:t>Vaud Tribunal cantonal Cour des assurances sociales 06.05.2010 Décision / 2010 / 72</w:t>
      </w:r>
    </w:p>
    <w:p>
      <w:r>
        <w:t>TRANSACTION{ACCORD}, RADIATION DU RÔLE | 94 al. 1 let. c LPA-VD</w:t>
      </w:r>
    </w:p>
    <w:p>
      <w:r>
        <w:t>TRIBUNAL CANTONAL AM 57/08 - 17/2010 COUR DES ASSURANCES SOCIALES _____________________________________________ Décision du 6 mai 2010 __________________ Présidence de               Mme Thalmann , juge unique Greffier : Mme              Matile ***** Cause pendante entre : I.________ , à Forel-Lavaux, recourante, représentée par Me Luc Del Rizzo, à Montreux, et O.________ SA , à Carouge, intimée. _______________ Art. 94 al. 1 let. c LPA-VD E n  f a i t  et   e n  d r o i t  : Vu le recours interjeté le 25 août 2008 par I.________ contre la décision sur opposition rendue le 20 juin 2008 par O.________ SA, laquelle a confirmé qu'elle ne prendrait pas en charge les frais de remodelage de la silhouette de dame I.________ par dermolipectomie, vu l'audience de ce jour, vu les conclusions principales modifiées prises par la recourante, tendant à l'annulation de la décision de la caisse maladie du 20 juin 2008, à la prise en charge de l'opération de mastopexie bilatérale avec implants et dermolipectomie des bras, de celle d'abdominoplastie et dermolipectomie lombaire et, enfin, de celle de dermolipectomie face interne des cuisses, vu l'accord signé par les parties lors de l'audience du 6 mai 2010, lequel prévoit ce qui suit: " I. O.________ SA s’engage à prendre à sa charge, au régime de l’assurance obligatoire des soins, les opérations relatives au bodylift (abdominoplastie et dermolipectomie lombaire) ainsi qu’à la dermolipectomie face interne des cuisses, ces interventions étant la conséquence de l’opération by-pass gastrique du 10 mai 2005. Lesdites opérations et leur prise en charge seront effectuées dès la naissance de l’enfant d’I.________ et dès la fin de l’allaitement de l’enfant par sa mère. La première intervention devra intervenir au plus tard dans un délai de trois ans courant dès la naissance. II. I.________ conserve à sa charge les frais engendrés par l’opération de mastopexie bilatérale avec implants et dermolipectomie des bras effectuée par le Dr A.________ en date du 8 juin 2007. III. Chaque partie garde ses frais et renonce à l’allocation de dépens." vu les pièces du dossier; considérant que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(cf. art. 117 al. 1 LPA-VD), que la Cour des assurances sociales du Tribunal cantonal, qui succède au Tribunal des assurances, est compétente pour statuer (93 al. 1 let. a LPA-VD); considérant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le juge doit relever que rien ne s'oppose à l'approbation de la transaction, sans qu'il soit nécessaire que la décision de ratification fasse l'objet d'un jugement motivé, une radiation du rôle étant suffisante (TFA H 325/00 du 11 mai 2001), que la décision de classement de l'affaire par le juge produit les mêmes effets qu'un jugement (ATF 112 V 174); considérant que, lors de l'audience du 6 mai 2010, les parties ont conclu une transaction judiciaire, qu'il ressort de l'examen de la transaction que son contenu est en adéquation avec les faits de la cause et qu'elle est conforme à la loi, qu'il convient dès lors d'en prendre acte et de rayer la cause du rôle, le juge instructeur statuant ici comme juge unique en application de l'art. 94 al. 1 let. c LPA-VD, qu'il n'y a pas lieu de percevoir un émolument judiciaire (art. 61 let a LPGA [Loi fédérale du 6 octobre 2000 sur la partie générale du droit des assurances sociales; RS 830.1]), les parties ayant en outre renoncé à l'allocation de dépens. Par ces motifs, le juge unique prononce : I. Il est pris acte de la transaction intervenue entre les parties le 6 mai 2010 pour valoir jugement. II. La cause est rayée du rôle. III. Il n'est pas perçu de frais. Le juge unique :               La greffière : Du La décision qui précède est notifiée à : ‑ Me Luc Del Rizzo, avocat (pour I.________), ‑ O.________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