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2010 / 53 vom 15. März 2010</w:t>
      </w:r>
    </w:p>
    <w:p>
      <w:r>
        <w:t>VD Tribunal cantonal, 2010-03-15, FR</w:t>
      </w:r>
    </w:p>
    <w:p>
      <w:r>
        <w:rPr>
          <w:b/>
        </w:rPr>
        <w:t xml:space="preserve">Quelle: </w:t>
      </w:r>
      <w:r>
        <w:t>https://mcp.opencaselaw.ch/entscheid/vd_findinfo_D_cision___2010___53</w:t>
      </w:r>
    </w:p>
    <w:p>
      <w:r>
        <w:t>FR: VD_FINDINFO Décision / 2010 / 53 du 15 mars 2010</w:t>
      </w:r>
    </w:p>
    <w:p>
      <w:r>
        <w:t>IT: VD_FINDINFO Décision / 2010 / 53 del 15 marzo 2010</w:t>
      </w:r>
    </w:p>
    <w:p>
      <w:pPr>
        <w:pStyle w:val="Heading2"/>
      </w:pPr>
      <w:r>
        <w:t>Regeste</w:t>
      </w:r>
    </w:p>
    <w:p>
      <w:r>
        <w:t>COMPÉTENCE RATIONE LOCI | 58 al. 1 LPGA, 58 al. 3 LPGA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LPGA [loi fédérale du 6 octobre 2000 sur la partie générale du droit des assurances sociales, RS 830.1] en corrélation avec l'art. 57 LPGA), étant précisé que par autre partie, il faut entendre le tiers ayant déposé recours (ATF 135 V 153 consid. 4.10 et les références citées), qu'il est constant que le recourant, au moment du dépôt du recours, était domicilié à Ravoire (VS), que la Cour de céans doit par conséquent décliner sa compétence à raison du lieu et transmettre d'office la cause à la Cour des assurances sociales du Tribunal cantonal du canton du Valais (art. 58 al. 3 LPGA),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