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205 vom 8. März 2010</w:t>
      </w:r>
    </w:p>
    <w:p>
      <w:r>
        <w:t>VD Tribunal cantonal, 2010-03-08, FR</w:t>
      </w:r>
    </w:p>
    <w:p>
      <w:r>
        <w:rPr>
          <w:b/>
        </w:rPr>
        <w:t xml:space="preserve">Quelle: </w:t>
      </w:r>
      <w:r>
        <w:t>https://mcp.opencaselaw.ch/entscheid/vd_findinfo_D_cision___2010___205</w:t>
      </w:r>
    </w:p>
    <w:p>
      <w:r>
        <w:t>FR: VD_FINDINFO Décision / 2010 / 205 du 8 mars 2010</w:t>
      </w:r>
    </w:p>
    <w:p>
      <w:r>
        <w:t>IT: VD_FINDINFO Décision / 2010 / 205 del 8 marzo 2010</w:t>
      </w:r>
    </w:p>
    <w:p>
      <w:pPr>
        <w:pStyle w:val="Heading2"/>
      </w:pPr>
      <w:r>
        <w:t>Regeste</w:t>
      </w:r>
    </w:p>
    <w:p>
      <w:r>
        <w:t>MESURE DISCIPLINAIRE, AMENDE, HONORAIRES | 12 let. a LLCA, 12 let. i LLCA</w:t>
      </w:r>
    </w:p>
    <w:p>
      <w:pPr>
        <w:pStyle w:val="Heading2"/>
      </w:pPr>
      <w:r>
        <w:t>Erwägungen</w:t>
      </w:r>
    </w:p>
    <w:p>
      <w:r>
        <w:rPr>
          <w:b/>
        </w:rPr>
        <w:t>E. 27</w:t>
      </w:r>
    </w:p>
    <w:p>
      <w:r>
        <w:t>juillet 2007 c. 8.1). Une violation de l'art. 12 let. i LLCA pourrait tout au plus, dans des cas extrêmes, justifier une sanction disciplinaire (TF 4A_561/2008 c. 2.6.5 ; voir aussi la décision genevoise du 18 mai 2004 in SJ 2007 II 287). Dans un arrêt du Tribunal administratif genevois, confirmé par le Tribunal fédéral, il a été admis que l'avocat qui facture 4'800 fr. d'honoraires pour une procédure de recouvrement de 2'565 fr. 10 sans avoir averti son client que ses honoraires pourraient largement dépasser le montant à récupérer violait son obligation d'informer son client des risques financiers de son mandat (TF 2P.194/2004 c. 2.2.3). d) Me Q.________ a établi trois notes d'honoraires durant son mandat: une première note de 1'645 fr. 20 pour les opérations du 4 mai au 29 mai 2006, une deuxième note de 1'440 fr. 80 pour les opérations du 29 mai au 17 juillet 2006 et, enfin, une dernière note de 8'805 fr. 30 pour les opérations du 17 juillet 2006 au 24 avril 2007, soit un montant total de 11'891 fr. 30. Le montant pris en charge par la [...] au titre du dommage matériel s'élève à 2'074 fr. 85. Les honoraires admis par l'assureur, par 3'086 fr., correspondent aux deux premières notes d'honoraires. Les honoraires facturés concernent les opérations effectuées pour la reconnaissance de la responsabilité du propriétaire du chien – partant de l'assurance RC – et pour le remboursement du dommage matériel. En effet, aucune opération n'a été effectuée par l'avocate – ni aucune prétention chiffrée – en rapport avec le tort moral, lequel a été réservé, au même titre que les éventuels frais liés à une reconstruction chirurgicale. A ce stade, on ne saurait donc prendre en considération dans le calcul de la valeur litigieuse un quelconque montant au titre de tort moral. Partant, on doit admettre que la valeur litigieuse était de 2'074 fr. 85, correspondant au dommage matériel. Compte tenu d'un tel dommage, des honoraires d'un montant de 11'891 fr. 30 sont très excessifs. Ce montant apparaît d'autant plus critiquable que l'information donnée par l'avocate s'agissant de la facturation et de la quotité des honoraires est gravement déficiente. Lorsque la cliente a établi un décompte détaillé de son préjudice en septembre 2006, elle y a inclus les deux notes d'honoraires des 29 mai et 17 juillet 2006. Il ressort de ses déterminations du 4 juillet 2007 que Me Q.________ lui a alors demandé d'établir un nouveau décompte sans le montant correspondant aux honoraires. Un nouveau décompte du dommage matériel a été établi et produit à l'assurance. Les honoraires, le tort moral et les frais d'une éventuelle chirurgie reconstructive ont pour leur part été réservés mais non chiffrés. En décembre 2006, l'assurance a fait une proposition transactionnelle s'élevant à 1'468 fr. 45 tout en prenant acte des réserves de l'avocate. Celle-ci a refusé cette proposition. En janvier, elle a informé sa cliente que l'assurance refusait d'inclure ses honoraires dans le préjudice subi, raison pour laquelle elle requérait du juge d'instruction la reprise de la cause. Il est patent que la cliente devait savoir que les honoraires n'étaient pas arrêtés définitivement et qu'ils continuaient à courir depuis la dernière note du 17 juillet 2006. Il appartenait toutefois à l'avocate d'attirer l'attention de sa cliente sur le fait que les honoraires devenaient importants au regard de la valeur litigieuse et de requérir son consentement pour la poursuite de la procédure. Il n'était pas correct de la part de l'avocate de laisser courir les honoraires jusqu'à près de 12'000 fr. pour un dommage matériel de 2'074 fr. 85 sans rendre attentive sa cliente à ce fait, lui exposer les choix possibles et requérir formellement son consentement pour la suite du mandat. Or, ce n'est qu'au mois d'avril 2007 que Me Q.________ a prévenu sa cliente qu'une partie de ses honoraires, dont elle était redevable, risquait de n'être pas prise en charge par l'assurance. Elle a alors requis D.________ de lui indiquer si elle devait continuer à défendre ses intérêts. Me Q.________ a toutefois encore attendu le 1 er mai pour lui demander une provision de 3'000 fr., alors que ses honoraires depuis le mois de juillet 2006 approchaient les 8'000 fr. et que l'assurance ne semblait pas encline à prendre en charge des montants aussi conséquents. L'information du 13 avril 2007 était tardive. Elle était également déficiente puisque la cliente n'était pas informée du montant des honoraires encourus jusque là et qu'elle ne pouvait prendre en connaissance de cause la décision de poursuivre ou pas le mandat. La demande de provision du 1 er mai était également insuffisante au vu de la note du 24 mai 2007. C'est au mois de janvier déjà, alors que l'assurance refusait de prendre en charge le dommage matériel requis et les honoraires d'avocats, que Me Q.________ aurait dû informer sa cliente du montant de ses honoraires et requérir son avis pour la poursuite du mandat. Dès le moment où les pourparlers n'avançaient plus, il lui appartenait d'évaluer les différentes solutions possibles avec sa cliente et de discuter clairement des honoraires. Par ses carences, Me Q.________ a violé son devoir d'information au sens de l'art. 12 let. i LLCA. Entendue par un membre délégué de la Chambre des avocats le 24 septembre 2007, Me Q.________ a reproché à sa cliente d'avoir transigé seule avec l'assurance. Elle a fait valoir que si elle-même avait pu négocier, elle aurait obtenu un montant supplémentaire de 3'000 à 4'000 fr. sur sa dernière note d'honoraires. Après négociation, elle aurait réduit sa note au montant obtenu et n'aurait pas demandé de montant supplémentaire à sa cliente, comme elle le faisait toujours en matière de circulation routière. Me Q.________ a encore indiqué qu'elle avait estimé que sa cliente n'avait pas été correcte et qu'elle était fâchée de n'avoir pu négocier avec l'assurance le montant qui lui restait dû, raison pour laquelle elle avait adressé sa dernière facture sans réduction relative à la valeur litigieuse. Elle s'attendait à être modérée. Il n'était toutefois pas digne d'une avocate de "gonfler" la facture au motif qu'elle était en colère. Tout en expliquant qu’elle avait pour habitude de limiter ses honoraires au montant obtenu à ce titre de l’assurance, Me Q.________ n’en a pas moins facturé à sa cliente 8'800 fr. en sus des 3'600 fr. qui l’avaient déjà été alors même que, selon ses propres dires, ce n’est qu’un montant supplémentaire de 3'000 à 4'000 fr. qu’elle espérait obtenir de l’assurance. De telles assertions impliquent que les honoraires facturés étaient excessifs et qu'elle l'admet. Une telle manière de procéder, consistant à surfacturer au client pour pouvoir négocier avec un tiers puis à réduire les honoraires facturés au montant obtenu, et que Me Q.________ déclare être systématique dans les affaires de circulation routière, est de nature à porter atteinte à la confiance que le justiciable doit pouvoir avoir en l'avocat. En agissant ainsi, Me Q.________ a également violé son devoir de diligence au sens de l'art. 12 let. a LLCA. On notera, pour le surplus, que dès janvier 2007, le compteur de la facturation n’a tourné, à tout le moins en partie, que pour obtenir une augmentation du montant auquel l’avocate pouvait prétendre à titre d’honoraires. Ainsi, Me Q.________ n’avait plus en vue que son propre intérêt et, sous couvert d’obtenir une indemnisation des frais d’avocat – dont il n'est pas contesté qu’elle soit due sur le principe –, le but de la continuation des opérations visait au moins en partie l’augmentation de l’indemnité. Si Me Q.________ ne s’était concentrée que sur la défense des intérêts de sa cliente, elle aurait communiqué à l’assurance l’état de ses honoraires en décembre 2006, soit au moment où le dommage matériel était chiffré. L’indemnité pour tort moral n'a jamais fait l’objet d’aucune prétention chiffrée et aucun démarche n'a été faite en vue de déterminer l'éventuelle chirurgie reconstructive qui serait nécessaire. L’argumentation selon laquelle les opérations se seraient poursuivies pour régler ces deux points là est donc sans pertinence. III. Compte tenu de l'ensemble des faits constatés, il est établi que Me Q.________ a violé les règles professionnelles découlant de l'art. 12 let. a et i LLCA. Ces manquements doivent être sanctionnés sur le plan disciplinaire. a) Le droit disciplinaire est soumis au principe de proportionnalité (ATF 108 Ia 230, JT 1984 I 21 ;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proportionnalité doit ainsi guider l’autorité disciplinaire dans le choix de la sanction, laquelle doit être adaptée à l’infraction. La sanction disciplinaire vise d’abord à amener l’avocat en cause à avoir à l’avenir un comportement conforme aux exigences de la profession (ATF 108 Ia 230, JT 1984 I 21). L'article 17 LLCA permet de prononcer, en cas de violation de la loi, l'avertissement, le blâme, une amende de 20'000 fr. au plus, l'interdiction de pratiquer pour une durée maximale de deux ans ou l'interdiction définitive de pratiquer. A cet égard, le Tribunal fédéral a jugé que les peines légères, comme l’avertissement, la censure et l’amende sont prévues pour des cas bénins ou qui ne portent pas atteinte à la crédibilité de l’avocat (ATF 106 Ia 100). b) En l'espèce, c'est la combinaison d'une facturation d'honoraires non seulement élevés mais abusifs par rapport à la valeur litigieuse, des déficiences crasses en matière d'information et de l'existence d'opérations effectuées dans l'intérêt de l'avocate et non pas de la cliente qui justifie une sanction disciplinaire. Le comportement reproché à Me Q.________ dans le cadre de son mandat est encore aggravé par le fait que les honoraires ont été surfacturés à la cliente, de l'aveu même de l'avocate. Au regard de l'ensemble des circonstances, une amende arrêtée à 1'500 fr. permet de sanctionner de façon adéquate et proportionnée les violations des règles professionnelles commises par l'avocate Q.________. IV. Les frais de la cause, comprenant un émolument ainsi que les frais d'enquête, par 530 fr., sont arrêtés à 1'030 francs. Ils sont mis à la charge de l’avocate Q.________ (art. 61 al. 1 LPAv). Par ces motifs, la Chambre des avocats, statuant à huis clos prononce : I. Q.________ est condamnée à une amende de 1'500 francs (mille cinq cents francs) II. Les frais d'arrêt, par 1'030 fr. (mille trente francs), sont mis à la charge de Q.________. Le président :               La greffière : La décision qui précède, lue et approuvée à huis clos, est notifiée à : - Me Philippe Reymond (pour Q.________). Toute décision de la Chambre des avocats peut faire l'objet d'un recours au Tribunal cantonal dans les trente jours dès sa communication ou sa notification. Le recours est exercé conformément à la loi sur la juridiction et la procédure administratives (art. 60 al. 1 et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