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143 vom 31. August 2010</w:t>
      </w:r>
    </w:p>
    <w:p>
      <w:r>
        <w:t>VD Tribunal cantonal, 2010-08-31, FR</w:t>
      </w:r>
    </w:p>
    <w:p>
      <w:r>
        <w:rPr>
          <w:b/>
        </w:rPr>
        <w:t xml:space="preserve">Quelle: </w:t>
      </w:r>
      <w:r>
        <w:t>https://mcp.opencaselaw.ch/entscheid/vd_findinfo_D_cision___2010___143</w:t>
      </w:r>
    </w:p>
    <w:p>
      <w:r>
        <w:t>FR: VD_FINDINFO Décision / 2010 / 143 du 31 août 2010</w:t>
      </w:r>
    </w:p>
    <w:p>
      <w:r>
        <w:t>IT: VD_FINDINFO Décision / 2010 / 143 del 31 agosto 2010</w:t>
      </w:r>
    </w:p>
    <w:p>
      <w:pPr>
        <w:pStyle w:val="Heading2"/>
      </w:pPr>
      <w:r>
        <w:t>Regeste</w:t>
      </w:r>
    </w:p>
    <w:p>
      <w:r>
        <w:t>RETRAIT{VOIE DE DROIT}, RADIATION DU RÔLE, TRIBUNAL ARBITRAL | 116 LPA-VD, 94 al. 1 let. c LPA-VD</w:t>
      </w:r>
    </w:p>
    <w:p>
      <w:pPr>
        <w:pStyle w:val="Heading2"/>
      </w:pPr>
      <w:r>
        <w:t>Volltext</w:t>
      </w:r>
    </w:p>
    <w:p>
      <w:r>
        <w:t>Vaud Tribunal cantonal Tribunal arbitral 31.08.2010 Décision / 2010 / 143</w:t>
      </w:r>
    </w:p>
    <w:p>
      <w:r>
        <w:t>RETRAIT{VOIE DE DROIT}, RADIATION DU RÔLE, TRIBUNAL ARBITRAL | 116 LPA-VD, 94 al. 1 let. c LPA-VD</w:t>
      </w:r>
    </w:p>
    <w:p>
      <w:r>
        <w:t>TRIBUNAL CANTONAL TARB 2/10 - 5/2010 TRIBUNAL ARBITRAL DES ASSURANCES __________________________________________________ Décision du 31 août 2010 _____________________ Présidence de               M. Jomini , juge unique Greffier : M.              Addor ***** Cause pendante entre : G.________ , à Lausanne, requérant, représenté par Me Amédée Kasser, avocat à Lausanne, et COMMISSION PARITAIRE DE CONFIANCE ASTO/CTM/AM/AI , à Gümligen (BE), intimée. _______________ Art. 94 al. 1 let. c et 116 LPA-VD Vu la requête déposée le 4 janvier 2010 par G.________, tendant à ce que le Tribunal arbitral constate la nullité d’une « décision » de la Commission paritaire de confiance du 1 er décembre 2009, acte retirant à G.________ sa concession tarifaire B pour le tarif ASTO/CTM/AI/AM à partir du 1 er janvier 2010; attendu que les parties ont comparu à l’audience présidentielle du 9 mars 2010 et sont convenues alors de suspendre la procédure, le requérant s’engageant à suivre des cours de formation à valoir pour la période de contrôle 2007/2008; vu la lettre de la Commission paritaire de confiance ASTO/CTM/AM/AI du 4 août 2010, informant le président du Tribunal arbitral que la cause pouvait être considérée comme liquidée, G.________ ayant désormais suivi les cours de formation (pour 2007/2008) nécessaires pour être au bénéfice de la convention tarifaire; vu la lettre du requérant du 24 août 2010, qui expose que vu l’exécution de la convention signée à l’audience du 9 mars 2010, la requête peut être retirée; considérant qu'il y a lieu de prendre acte du retrait de la requête et de rayer la cause du rôle; que selon l'art. 92 al. 1 CPC (code de procédure civile du 14 décembre 1966, RSV 270.11), applicable par analogie (cf. art. 109 al. 2 et art. 116 LPA-VD), des dépens sont alloués à la partie qui obtient gain de cause; qu’à l'issue d'un litige, le juge doit donc rechercher lequel des plaideurs gagne le procès – ou évaluer quel aurait été le sort des conclusions de chaque partie, s’il n’avait pas été mis fin au procès avant le jugement – et lui allouer une certaine somme en remboursement de ses frais, à la charge du plaideur perdant; que les dépens comprennent principalement les frais de justice payés par la partie, les honoraires et les déboursés de son avocat (art. 91 let. a et c CPC); qu’en l’espèce, seul le requérant a été invité à effectuer une avance de frais (émolument pour le dépôt de la requête); qu’aucun délai de réponse n’a été fixé et que la Commission intimée n’a pas accompli d’acte de procédure soumis à la perception d’un émolument; qu’il se justifie, vu la convention et les circonstances de la présente affaire, de mettre les frais de justice, arrêtés à 1'000 fr., à la charge de la Commission paritaire de confiance; que le requérant a droit à une indemnité pour ses frais d’avocat, laquelle doit être fixée à 1'000 fr. compte tenu de la nature de l’affaire et de l’issue de la procédure. Par ces motifs, le Président du Tribunal arbitral des assurances prononce : I. La cause est rayée du rôle par suite de retrait de la requête. II. Les frais de justice sont arrêtés à 1'000 fr. (mille francs) pour le requérant G.________. III. L'intimée Commission paritaire de confiance ASTO/CTM/AM/AI versera au requérant G.________ le montant de 2'000 fr. (deux mille francs) à titre de dépens. Le président : Le greffier : Du La décision qui précède est notifiée à : ‑ Me Amédée Kasser, avocat (pour G.________), ‑ Commission paritaire de confiance ASTO/CTM/AM/AI,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