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81 vom 11. August 2009</w:t>
      </w:r>
    </w:p>
    <w:p>
      <w:r>
        <w:t>VD Tribunal cantonal, 2009-08-11, FR</w:t>
      </w:r>
    </w:p>
    <w:p>
      <w:r>
        <w:rPr>
          <w:b/>
        </w:rPr>
        <w:t xml:space="preserve">Quelle: </w:t>
      </w:r>
      <w:r>
        <w:t>https://mcp.opencaselaw.ch/entscheid/vd_findinfo_D_cision___2009___81</w:t>
      </w:r>
    </w:p>
    <w:p>
      <w:r>
        <w:t>FR: VD_FINDINFO Décision / 2009 / 81 du 11 août 2009</w:t>
      </w:r>
    </w:p>
    <w:p>
      <w:r>
        <w:t>IT: VD_FINDINFO Décision / 2009 / 81 del 11 agosto 2009</w:t>
      </w:r>
    </w:p>
    <w:p>
      <w:pPr>
        <w:pStyle w:val="Heading2"/>
      </w:pPr>
      <w:r>
        <w:t>Regeste</w:t>
      </w:r>
    </w:p>
    <w:p>
      <w:r>
        <w:t>TRANSACTION{ACCORD} | 50 al. 1 LPGA, 94 al. 1 let. c LPA-VD</w:t>
      </w:r>
    </w:p>
    <w:p>
      <w:pPr>
        <w:pStyle w:val="Heading2"/>
      </w:pPr>
      <w:r>
        <w:t>Volltext</w:t>
      </w:r>
    </w:p>
    <w:p>
      <w:r>
        <w:t>Vaud Tribunal cantonal Cour des assurances sociales 11.08.2009 Décision / 2009 / 81</w:t>
      </w:r>
    </w:p>
    <w:p>
      <w:r>
        <w:t>TRANSACTION{ACCORD} | 50 al. 1 LPGA, 94 al. 1 let. c LPA-VD</w:t>
      </w:r>
    </w:p>
    <w:p>
      <w:r>
        <w:t>TRIBUNAL CANTONAL AM 17/08 - 35/2009 COUR DES ASSURANCES SOCIALES _____________________________________________ Décision du 11 août 2009 __________________ Présidence de   Mme Di Ferro Demierre , juge unique Greffière : Mme Trachsel ***** Cause pendante entre : D.________ , à Bex, recourant, représenté par Me Aba Neeman, avocat, à Monthey, et La Caisse vaudoise (ci-après : la caisse), à Martigny, intimée. _______________ Art. 50 al. 1 LPGA et  94 al. 1 let. c LPA-VD Vu la décision sur opposition du 5 février 2008, par laquelle la caisse a rejeté l'opposition formée le 23 mai 2007 par D.________, vu le recours formé le 7 mars 2008 par lequel D.________, représenté par son conseil, a conclu principalement à l'annulation de cette dernière décision, à la mise en œuvre d'une expertise pluridisciplinaire et au versement des indemnités journalières à dire de justice, depuis le 1 er septembre 2007, et, subsidiairement, au renvoi du dossier à la caisse pour nouvelle décision, vu la réponse de la caisse du 6 juin 2008 et la réplique du recourant du 25 août suivant, vu les déterminations de la caisse du 17 septembre 2008, vu la transaction extrajudiciaire établie et signée le 4 août 2009 par la caisse, contresignée le 10 août suivant par le recourant, puis transmise à l'autorité de céans le même jour par le représentant de ce dernier, accord dont le contenu est le suivant : « - L'assureur versera à M. D.________ le montant de 13'488 fr. 20 (treize mille quatre cent huitante francs et vingt centimes) pour solde de tout compte. - L'assureur mettra un terme au contrat d'assurance d'indemnités journalières conclut par M. D.________ au 31 décembre 2007 et renonce aux primes dès le 1 er janvier 2008. - L'assuré retire la demande déposée auprès de la Cour des assurances sociales du Tribunal cantonal du canton de Vaud en date du 7 mars 2008. - L'assuré renonce à faire valoir tout autre droit », vu les pièces du dossier ; attendu que, selon l'art. 50 al. 1 LPGA (loi fédérale du 6 octobre 2000 sur la partie générale du droit des assurances sociales ; RS 830.1), les litiges portant sur des prestations des assurances sociales peuvent être réglés par transaction (ATF C 176/00, du 19 mars 2003 et C 278/01 du 17 mars 2003 ; FF 1999 p. 3896), que le juge des assurances sociales appelé à se prononcer sur une convention conclue par les parties en vertu de cette disposition doit s'assurer que rien ne s'oppose à l'approbation de la transaction, du point de vue de la concordance des volontés des parties à mettre fin à la procédure de cette manière comme de l'adéquation de son contenu à l'état de fait de la cause et de sa conformité aux dispositions légales applicables (U. Kieser, ATSG-Kommentar, Schulthess, 2003, Rz 3-6 ad Art. 50, pp. 502-505 ; FF 1999 p. 4609), qu'il ressort de l'examen de la transaction que le contenu de celle-ci est en adéquation avec les faits de la cause et est conforme à la loi, que rien ne s'oppose dès lors à son approbation, qu'il y a lieu de prendre acte de dite transaction et de la ratifier, pour valoir jugement, que, cela étant, vu l'accord des parties, le recours est devenu sans objet, qu'il y a dès lors lieu de rayer la cause du rôle, que, conformément à l'art. 94 al. 1 let. c LPA-VD (loi vaudoise du 28 octobre 2008 sur la procédure administrative ; RSV 173.36), la présente cause ressortit à la compétence du juge instructeur statuant comme juge unique. Par ces motifs, le juge unique prononce : I. Il est pris acte de la transaction intervenue entre les parties pour valoir jugement. II. La cause est rayée du rôle. Le juge unique : La greffière : Du La décision qui précède est notifiée à : ‑      Me Aba Neeman, avocat, à Monthey (pour D.________) ; ‑      La Caisse vaudoise, à Martigny ;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