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80 vom 12. August 2009</w:t>
      </w:r>
    </w:p>
    <w:p>
      <w:r>
        <w:t>VD Tribunal cantonal, 2009-08-12, FR</w:t>
      </w:r>
    </w:p>
    <w:p>
      <w:r>
        <w:rPr>
          <w:b/>
        </w:rPr>
        <w:t xml:space="preserve">Quelle: </w:t>
      </w:r>
      <w:r>
        <w:t>https://mcp.opencaselaw.ch/entscheid/vd_findinfo_D_cision___2009___80</w:t>
      </w:r>
    </w:p>
    <w:p>
      <w:r>
        <w:t>FR: VD_FINDINFO Décision / 2009 / 80 du 12 août 2009</w:t>
      </w:r>
    </w:p>
    <w:p>
      <w:r>
        <w:t>IT: VD_FINDINFO Décision / 2009 / 80 del 12 agosto 2009</w:t>
      </w:r>
    </w:p>
    <w:p>
      <w:pPr>
        <w:pStyle w:val="Heading2"/>
      </w:pPr>
      <w:r>
        <w:t>Regeste</w:t>
      </w:r>
    </w:p>
    <w:p>
      <w:r>
        <w:t>COMPÉTENCE RATIONE LOCI, RADIATION DU RÔLE | 58 LPGA</w:t>
      </w:r>
    </w:p>
    <w:p>
      <w:pPr>
        <w:pStyle w:val="Heading2"/>
      </w:pPr>
      <w:r>
        <w:t>Erwägungen</w:t>
      </w:r>
    </w:p>
    <w:p>
      <w:r>
        <w:rPr>
          <w:b/>
        </w:rPr>
        <w:t>E. 27</w:t>
      </w:r>
    </w:p>
    <w:p>
      <w:r>
        <w:t>juin 1979 sur la procédure et la juridiction administratives, RS 152.130] et 6 du Règlement d'organisation du Tribunal administratif du 8 janvier 2008, RS 162.114.1), que la présente cause est rayée du rôle sans frais ni dépens (art. 61 let. a et g LPGA et 55 LPA-VD). Par ces motifs, le juge unique prononce : I. La compétence de la Cour des assurances sociales du Tribunal cantonal vaudois est déclinée d'office. II. La cause sera, dès l'entrée en force de la présente décision, transmise en l'état à la Cour des assurances sociales du Tribunal administratif du canton de Neuchâtel comme objet de sa compétence. III. La cause est rayée du rôle. IV. La présente décision est rendue sans frais ni allocation de dépens. Le juge unique : La greffière : Du La décision qui précède est notifiée à : ‑ P.________ ‑      Caisse cantonale neuchâteloise de compensation par l'envoi de photocopies. Elle est communiquée à : ‑ la Cour des assurances sociales du Tribunal administratif du canton de Neuchâtel.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