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31 vom 27. Mai 2009</w:t>
      </w:r>
    </w:p>
    <w:p>
      <w:r>
        <w:t>VD Tribunal cantonal, 2009-05-27, FR</w:t>
      </w:r>
    </w:p>
    <w:p>
      <w:r>
        <w:rPr>
          <w:b/>
        </w:rPr>
        <w:t xml:space="preserve">Quelle: </w:t>
      </w:r>
      <w:r>
        <w:t>https://mcp.opencaselaw.ch/entscheid/vd_findinfo_D_cision___2009___31</w:t>
      </w:r>
    </w:p>
    <w:p>
      <w:r>
        <w:t>FR: VD_FINDINFO Décision / 2009 / 31 du 27 mai 2009</w:t>
      </w:r>
    </w:p>
    <w:p>
      <w:r>
        <w:t>IT: VD_FINDINFO Décision / 2009 / 31 del 27 maggio 2009</w:t>
      </w:r>
    </w:p>
    <w:p>
      <w:pPr>
        <w:pStyle w:val="Heading2"/>
      </w:pPr>
      <w:r>
        <w:t>Regeste</w:t>
      </w:r>
    </w:p>
    <w:p>
      <w:r>
        <w:t>RETRAIT{VOIE DE DROIT}, MOYEN DE DROIT | 94 al. 1 let. c LPA-VD</w:t>
      </w:r>
    </w:p>
    <w:p>
      <w:pPr>
        <w:pStyle w:val="Heading2"/>
      </w:pPr>
      <w:r>
        <w:t>Erwägungen</w:t>
      </w:r>
    </w:p>
    <w:p>
      <w:r>
        <w:rPr>
          <w:b/>
        </w:rPr>
        <w:t>E. 17</w:t>
      </w:r>
    </w:p>
    <w:p>
      <w:r>
        <w:t>juin 2005 sur le Tribunal fédéral (LTF, RS 173.110). Même lorsque la valeur litigieuse minimale n'est pas atteinte, le recours est recevable si la contestation soulève une question juridique de principe (art. 74 al. 2 let. a LTF). Cas échéant, le jugement peut faire l'objet d'un recours constitutionnel subsidiaire au sens des art. 113 et suivants LTF. Ces recours doivent être déposés devant le Tribunal fédéral dans les trente jours qui suivent la notification de l'expédition complète (art. 100 al. 1er LTF). L'art. 100 al. 6 LTF est réservé.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