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198 vom 3. November 2009</w:t>
      </w:r>
    </w:p>
    <w:p>
      <w:r>
        <w:t>VD Tribunal cantonal, 2009-11-03, FR</w:t>
      </w:r>
    </w:p>
    <w:p>
      <w:r>
        <w:rPr>
          <w:b/>
        </w:rPr>
        <w:t xml:space="preserve">Quelle: </w:t>
      </w:r>
      <w:r>
        <w:t>https://mcp.opencaselaw.ch/entscheid/vd_findinfo_D_cision___2009___198</w:t>
      </w:r>
    </w:p>
    <w:p>
      <w:r>
        <w:t>FR: VD_FINDINFO Décision / 2009 / 198 du 3 novembre 2009</w:t>
      </w:r>
    </w:p>
    <w:p>
      <w:r>
        <w:t>IT: VD_FINDINFO Décision / 2009 / 198 del 3 novembre 2009</w:t>
      </w:r>
    </w:p>
    <w:p>
      <w:pPr>
        <w:pStyle w:val="Heading2"/>
      </w:pPr>
      <w:r>
        <w:t>Regeste</w:t>
      </w:r>
    </w:p>
    <w:p>
      <w:r>
        <w:t>CONDITION DE RECEVABILITÉ | 61 let. b LPGA, 27 al. 5 LPA-VD, 79 al. 1 LPA-VD, 99 LPA-VD</w:t>
      </w:r>
    </w:p>
    <w:p>
      <w:pPr>
        <w:pStyle w:val="Heading2"/>
      </w:pPr>
      <w:r>
        <w:t>Erwägungen</w:t>
      </w:r>
    </w:p>
    <w:p>
      <w:r>
        <w:rPr>
          <w:b/>
        </w:rPr>
        <w:t>E. 1</w:t>
      </w:r>
    </w:p>
    <w:p>
      <w:r>
        <w:t>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En droit cantonal de procédure administrative, l'exigence de la motivation (motifs et conclusions) résulte de l'art. 79 al. 1 LPA-VD, par renvoi de l'art. 99 LPA- VD. Selon l'art. 27 al. 4 et 5 LPA-VD, l'autorité impartit un bref délai pour corriger les écrits qui ne satisfont pas aux conditions de forme posées par la loi, les écrits qui ne sont pas produits à nouveau dans ce délai ou dont les vices ne sont pas corrigés étant réputés retirés. L'exigence de motivation, selon les règles précitées, est une condition de recevabilité du recours.</w:t>
      </w:r>
    </w:p>
    <w:p>
      <w:r>
        <w:rPr>
          <w:b/>
        </w:rPr>
        <w:t>E. 2</w:t>
      </w:r>
    </w:p>
    <w:p>
      <w:r>
        <w:t>En l'espèce, la recourante a été dûment rendue attentive aux exigences découlant de l'art. 61 let. b LPGA par courrier recommandé du 24 août 2009. Ainsi, elle a été invitée à compléter son acte de recours, comme du reste à produire la décision attaquée, et avertie qu'à défaut, son recours serait réputé retiré. Le recours n'ayant pas été motivé dans le délai supplémentaire fixé conformément aux art. 61 let. b LPGA et 27 al. 5 LPA-VD, force est de constater que l'acte de recours du 13 août 2009, dont on ignore au demeurant l'objet, ne satisfait pas aux exigences posées par les art. 61 let. b LPGA et 79 al. 1 LPA-VD, de sorte que le recours doit être déclaré irrecevable, ceci par prononcé relevant de la compétence du juge unique (art. 94 al. let. c LPA-VD; art. 27 al. 5 LPA-VD assimilant un tel prononcé à une radiation de la cause du rôle par suite de retrait de recours).</w:t>
      </w:r>
    </w:p>
    <w:p>
      <w:r>
        <w:rPr>
          <w:b/>
        </w:rPr>
        <w:t>E. 3</w:t>
      </w:r>
    </w:p>
    <w:p>
      <w:r>
        <w:t>Compte tenu de l'issue du litige, il n'y a pas lieu de percevoir un émolument de justice (art. 61 let. a LPGA) ni d'allouer des dépens (art. 55 LPA-VD). Par ces motifs, le juge unique prononce : I. Le recours est irrecevable. II. Il n'est pas perçu d'émolument judiciaire ni alloué de dépens. Le juge unique : Le greffier : Du L'arrêt qui précède est notifié à: ‑ X.________ ‑ A.________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