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936 vom 3. November 2025</w:t>
      </w:r>
    </w:p>
    <w:p>
      <w:r>
        <w:t>VD Tribunal cantonal, 2025-11-03, FR</w:t>
      </w:r>
    </w:p>
    <w:p>
      <w:r>
        <w:rPr>
          <w:b/>
        </w:rPr>
        <w:t xml:space="preserve">Quelle: </w:t>
      </w:r>
      <w:r>
        <w:t>https://mcp.opencaselaw.ch/entscheid/vd_findinfo_Arr_t___2025___936</w:t>
      </w:r>
    </w:p>
    <w:p>
      <w:r>
        <w:t>FR: VD_FINDINFO Arrêt / 2025 / 936 du 3 novembre 2025</w:t>
      </w:r>
    </w:p>
    <w:p>
      <w:r>
        <w:t>IT: VD_FINDINFO Arrêt / 2025 / 936 del 3 novembre 2025</w:t>
      </w:r>
    </w:p>
    <w:p>
      <w:pPr>
        <w:pStyle w:val="Heading2"/>
      </w:pPr>
      <w:r>
        <w:t>Regeste</w:t>
      </w:r>
    </w:p>
    <w:p>
      <w:r>
        <w:t>LOI FÉDÉRALE SUR L'ASSURANCE-ACCIDENTS, CAUSALITÉ ADÉQUATE, CAUSALITÉ NATURELLE, TRAUMATISME CRANIO-CÉRÉBRAL | 6 al. 1 LAA, 4 LPGA, 61 let. c LPGA</w:t>
      </w:r>
    </w:p>
    <w:p>
      <w:pPr>
        <w:pStyle w:val="Heading2"/>
      </w:pPr>
      <w:r>
        <w:t>Erwägungen</w:t>
      </w:r>
    </w:p>
    <w:p>
      <w:r>
        <w:rPr>
          <w:b/>
        </w:rPr>
        <w:t>E. 10</w:t>
      </w:r>
    </w:p>
    <w:p>
      <w:r>
        <w:t>Le dossier est pour le surplus complet et permet à la Cour de céans de statuer en pleine connaissance de cause. Il n’y a donc pas lieu de compléter l’instruction, comme le requiert la recourante, par la mise en œuvre d’une expertise et par sa comparution personnelle. En effet, une telle mesure d’instruction ne serait pas de nature à modifier les considérations qui précèdent, puisque les faits pertinents ont pu être constatés à satisfaction de droit (appréciation anticipée des preuves ; ATF 145 I 167 consid. 4.1 ; 140 I 285 consid. 6.3.1 ; 130 II 425 consid. 2.1). Une audience de débats publics au sens de l’art. 6 CEDH (Convention du 4 novembre 1950 de sauvegarde des droits de l’homme et des libertés fondamentales ; RS 0.101) n’a par ailleurs pas été requise de manière claire et indiscutable par la recourante (cf. TF 8C_539/2023 du 29 février 2024 consid. 2.2).</w:t>
      </w:r>
    </w:p>
    <w:p>
      <w:r>
        <w:rPr>
          <w:b/>
        </w:rPr>
        <w:t>E. 11</w:t>
      </w:r>
    </w:p>
    <w:p>
      <w:r>
        <w:t>a) En définitive, le recours, mal fondé, doit être rejeté et la décision sur opposition rendue le 21 novembre 2024 par l’intimée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